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2.gif" ContentType="image/gif"/>
  <Override PartName="/word/media/image1.jpeg" ContentType="image/jpe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/>
      </w:pPr>
      <w:r>
        <w:rPr/>
        <w:drawing>
          <wp:inline distT="0" distB="0" distL="0" distR="0">
            <wp:extent cx="6188710" cy="8745855"/>
            <wp:effectExtent l="0" t="0" r="0" b="0"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874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  <w:pict>
          <v:rect id="shape_0" fillcolor="white" stroked="t" style="position:absolute;margin-left:-18.45pt;margin-top:-82.15pt;width:506.35pt;height:81.8pt">
            <v:wrap v:type="none"/>
            <v:fill type="solid" color2="black" detectmouseclick="t"/>
            <v:stroke color="white" weight="25560" joinstyle="round" endcap="flat"/>
          </v:rect>
        </w:pict>
      </w:r>
      <w:r>
        <w:pict>
          <v:rect fillcolor="#FFFFFF" strokecolor="#F79646" strokeweight="2pt" style="position:absolute;width:369.2pt;height:286.45pt;mso-wrap-distance-left:9pt;mso-wrap-distance-right:9pt;mso-wrap-distance-top:0pt;mso-wrap-distance-bottom:0pt;margin-top:224.8pt;margin-left:84.25pt">
            <v:textbox>
              <w:txbxContent>
                <w:p>
                  <w:pPr>
                    <w:pStyle w:val="FrameContents"/>
                    <w:jc w:val="center"/>
                    <w:rPr>
                      <w:sz w:val="52"/>
                      <w:sz w:val="52"/>
                      <w:szCs w:val="72"/>
                    </w:rPr>
                  </w:pPr>
                  <w:r>
                    <w:rPr>
                      <w:sz w:val="52"/>
                      <w:sz w:val="52"/>
                      <w:szCs w:val="72"/>
                    </w:rPr>
                    <w:t>หน้าปกหลักสูตร</w:t>
                  </w:r>
                </w:p>
                <w:p>
                  <w:pPr>
                    <w:pStyle w:val="FrameContents"/>
                    <w:jc w:val="center"/>
                    <w:rPr>
                      <w:sz w:val="52"/>
                      <w:szCs w:val="72"/>
                    </w:rPr>
                  </w:pPr>
                  <w:r>
                    <w:rPr>
                      <w:sz w:val="52"/>
                      <w:szCs w:val="72"/>
                    </w:rPr>
                    <w:t>(Front Cover)</w:t>
                  </w:r>
                </w:p>
                <w:p>
                  <w:pPr>
                    <w:pStyle w:val="FrameContents"/>
                    <w:spacing w:before="0" w:after="200"/>
                    <w:jc w:val="center"/>
                    <w:rPr>
                      <w:rFonts w:cs="TH Dan Vi Vek"/>
                      <w:i/>
                      <w:i/>
                      <w:iCs/>
                      <w:sz w:val="52"/>
                      <w:sz w:val="52"/>
                      <w:szCs w:val="72"/>
                    </w:rPr>
                  </w:pPr>
                  <w:r>
                    <w:rPr>
                      <w:rFonts w:cs="TH Dan Vi Vek"/>
                      <w:i/>
                      <w:i/>
                      <w:iCs/>
                      <w:sz w:val="52"/>
                      <w:sz w:val="52"/>
                      <w:szCs w:val="72"/>
                    </w:rPr>
                    <w:t>วนชัย พาเนล อินดัสทรี</w:t>
                  </w:r>
                </w:p>
              </w:txbxContent>
            </v:textbox>
          </v:rect>
        </w:pict>
      </w:r>
      <w:r>
        <w:pict>
          <v:rect fillcolor="#924200" stroked="f" strokeweight="0pt" style="position:absolute;width:487.1pt;height:73.55pt;mso-wrap-distance-left:9pt;mso-wrap-distance-right:9pt;mso-wrap-distance-top:0pt;mso-wrap-distance-bottom:0pt;margin-top:206.55pt;margin-left:0.05pt">
            <v:shadow on="t" color="#000000" offset="0.8pt,0.8pt"/>
            <v:textbox>
              <w:txbxContent>
                <w:p>
                  <w:pPr>
                    <w:pStyle w:val="FrameContents"/>
                    <w:spacing w:lineRule="auto" w:line="240" w:before="0" w:after="0"/>
                    <w:jc w:val="center"/>
                    <w:rPr>
                      <w:rFonts w:ascii="" w:hAnsi=""/>
                      <w:b/>
                      <w:b/>
                      <w:bCs/>
                      <w:color w:val="FBD4B4"/>
                      <w:sz w:val="56"/>
                      <w:sz w:val="56"/>
                      <w:szCs w:val="56"/>
                    </w:rPr>
                  </w:pPr>
                  <w:r>
                    <w:rPr>
                      <w:rFonts w:ascii="" w:hAnsi=""/>
                      <w:b/>
                      <w:b/>
                      <w:bCs/>
                      <w:color w:val="FBD4B4"/>
                      <w:sz w:val="56"/>
                      <w:sz w:val="56"/>
                      <w:szCs w:val="56"/>
                    </w:rPr>
                    <w:t>หลักสูตรอิงสมรรถนะ</w:t>
                  </w:r>
                </w:p>
                <w:p>
                  <w:pPr>
                    <w:pStyle w:val="FrameContents"/>
                    <w:spacing w:lineRule="auto" w:line="240" w:before="0" w:after="0"/>
                    <w:jc w:val="center"/>
                    <w:rPr>
                      <w:rFonts w:ascii="" w:hAnsi=""/>
                      <w:b/>
                      <w:bCs/>
                      <w:color w:val="FBD4B4"/>
                      <w:sz w:val="52"/>
                      <w:szCs w:val="52"/>
                    </w:rPr>
                  </w:pPr>
                  <w:r>
                    <w:rPr>
                      <w:rFonts w:ascii="" w:hAnsi=""/>
                      <w:b/>
                      <w:bCs/>
                      <w:color w:val="FBD4B4"/>
                      <w:sz w:val="52"/>
                      <w:szCs w:val="52"/>
                    </w:rPr>
                    <w:t>Competency Based Curriculum</w:t>
                  </w:r>
                </w:p>
              </w:txbxContent>
            </v:textbox>
          </v:rect>
        </w:pict>
      </w:r>
      <w:r>
        <w:pict>
          <v:rect fillcolor="#FFDCB9" stroked="f" strokeweight="0pt" style="position:absolute;width:487.75pt;height:53.45pt;mso-wrap-distance-left:9pt;mso-wrap-distance-right:9pt;mso-wrap-distance-top:0pt;mso-wrap-distance-bottom:0pt;margin-top:280pt;margin-left:0.05pt">
            <v:textbox>
              <w:txbxContent>
                <w:p>
                  <w:pPr>
                    <w:pStyle w:val="FrameContents"/>
                    <w:spacing w:lineRule="auto" w:line="240" w:before="0" w:after="0"/>
                    <w:jc w:val="center"/>
                    <w:rPr>
                      <w:rFonts w:ascii="CordiaUPC" w:hAnsi="CordiaUPC" w:cs="TH SarabunPSK"/>
                      <w:b w:val="false"/>
                      <w:b w:val="false"/>
                      <w:bCs w:val="false"/>
                      <w:i/>
                      <w:i/>
                      <w:iCs/>
                      <w:sz w:val="72"/>
                      <w:sz w:val="72"/>
                      <w:szCs w:val="72"/>
                    </w:rPr>
                  </w:pPr>
                  <w:r>
                    <w:rPr>
                      <w:rFonts w:ascii="CordiaUPC" w:hAnsi="CordiaUPC" w:cs="TH SarabunPSK"/>
                      <w:b w:val="false"/>
                      <w:b w:val="false"/>
                      <w:bCs w:val="false"/>
                      <w:i/>
                      <w:i/>
                      <w:iCs/>
                      <w:sz w:val="72"/>
                      <w:sz w:val="72"/>
                      <w:szCs w:val="72"/>
                    </w:rPr>
                    <w:t>พนักงานควบคุมเครื่องโรยฝอยไม้</w:t>
                  </w:r>
                </w:p>
              </w:txbxContent>
            </v:textbox>
          </v:rect>
        </w:pict>
      </w: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113" w:type="dxa"/>
          <w:bottom w:w="0" w:type="dxa"/>
          <w:right w:w="108" w:type="dxa"/>
        </w:tblCellMar>
      </w:tblPr>
      <w:tblGrid>
        <w:gridCol w:w="9747"/>
      </w:tblGrid>
      <w:tr>
        <w:trPr>
          <w:cantSplit w:val="false"/>
        </w:trPr>
        <w:tc>
          <w:tcPr>
            <w:tcW w:w="974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40"/>
                <w:sz w:val="40"/>
                <w:szCs w:val="40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40"/>
                <w:sz w:val="40"/>
                <w:szCs w:val="40"/>
              </w:rPr>
              <w:t>หลักสูตรการฝึกอิงสมรรถนะ</w:t>
            </w:r>
            <w:r>
              <w:rPr>
                <w:rFonts w:cs="TH SarabunPSK" w:ascii="TH SarabunPSK" w:hAnsi="TH SarabunPSK"/>
                <w:b/>
                <w:bCs/>
                <w:sz w:val="40"/>
                <w:szCs w:val="40"/>
              </w:rPr>
              <w:br/>
            </w:r>
            <w:r>
              <w:rPr>
                <w:rFonts w:ascii="TH SarabunPSK" w:hAnsi="TH SarabunPSK" w:cs="TH SarabunPSK"/>
                <w:b/>
                <w:b/>
                <w:bCs/>
                <w:sz w:val="40"/>
                <w:sz w:val="40"/>
                <w:szCs w:val="40"/>
              </w:rPr>
              <w:t>สาขา ผู้ควบคุมเครื่องโรยฝอยไม้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H SarabunPSK" w:ascii="TH SarabunPSK" w:hAnsi="TH SarabunPSK"/>
                <w:b/>
                <w:bCs/>
                <w:sz w:val="40"/>
                <w:szCs w:val="40"/>
              </w:rPr>
            </w:pPr>
            <w:r>
              <w:rPr>
                <w:rFonts w:cs="TH SarabunPSK" w:ascii="TH SarabunPSK" w:hAnsi="TH SarabunPSK"/>
                <w:b/>
                <w:bCs/>
                <w:sz w:val="40"/>
                <w:szCs w:val="40"/>
              </w:rPr>
              <w:t>(Former Operators)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H SarabunPSK" w:ascii="TH SarabunPSK" w:hAnsi="TH SarabunPSK"/>
                <w:sz w:val="16"/>
                <w:szCs w:val="16"/>
              </w:rPr>
            </w:pPr>
            <w:r>
              <w:rPr>
                <w:rFonts w:cs="TH SarabunPSK" w:ascii="TH SarabunPSK" w:hAnsi="TH SarabunPSK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6"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6"/>
                <w:sz w:val="36"/>
                <w:szCs w:val="36"/>
              </w:rPr>
              <w:t>บริษัท วนชัย พาแนล อินดัสทรี่ส์ จำกัด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cs="TH SarabunPSK" w:ascii="TH SarabunPSK" w:hAnsi="TH SarabunPSK"/>
                <w:sz w:val="28"/>
              </w:rPr>
            </w:pPr>
            <w:r>
              <w:rPr>
                <w:rFonts w:cs="TH SarabunPSK" w:ascii="TH SarabunPSK" w:hAnsi="TH SarabunPSK"/>
                <w:sz w:val="28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วัตถุประสงค์</w:t>
            </w:r>
          </w:p>
          <w:p>
            <w:pPr>
              <w:pStyle w:val="Normal"/>
              <w:spacing w:lineRule="auto" w:line="240" w:before="0" w:after="0"/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  <w:t>หลักสูตรนี้พัฒนาขึ้นให้ครอบคลุมความสามารถด้านความรู้ ทักษะและเจตคติแก่ผู้เข้ารับการฝึกในสาขาอาชีพช่างเคาะตัวถังรถยนต์ เพื่อให้สามารถปฏิบัติงานได้ ดังนี้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  <w:t>ปฏิบัติงานได้อย่างปลอดภัย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  <w:t>ควบคุมการผลิตเครื่องโรยฝอยไม้ได้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บำรุงรักษาเครื่องโรยฝอยไม้</w:t>
            </w:r>
            <w:r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  <w:t>ได้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ปฏิบัติงานผลิตได้ตามคู่มือการทำงานของบริษัท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cs="TH SarabunPSK" w:ascii="TH SarabunPSK" w:hAnsi="TH SarabunPSK"/>
                <w:sz w:val="16"/>
                <w:szCs w:val="16"/>
              </w:rPr>
            </w:pPr>
            <w:r>
              <w:rPr>
                <w:rFonts w:cs="TH SarabunPSK" w:ascii="TH SarabunPSK" w:hAnsi="TH SarabunPSK"/>
                <w:sz w:val="16"/>
                <w:szCs w:val="16"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rFonts w:cs="TH SarabunPSK" w:ascii="TH SarabunPSK" w:hAnsi="TH SarabunPSK"/>
                <w:sz w:val="16"/>
                <w:szCs w:val="16"/>
              </w:rPr>
            </w:pPr>
            <w:r>
              <w:rPr>
                <w:rFonts w:cs="TH SarabunPSK" w:ascii="TH SarabunPSK" w:hAnsi="TH SarabunPSK"/>
                <w:sz w:val="16"/>
                <w:szCs w:val="16"/>
              </w:rPr>
            </w:r>
          </w:p>
        </w:tc>
      </w:tr>
      <w:tr>
        <w:trPr>
          <w:cantSplit w:val="false"/>
        </w:trPr>
        <w:tc>
          <w:tcPr>
            <w:tcW w:w="974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ระยะเวลาการฝึก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         </w:t>
            </w:r>
            <w:r>
              <w:rPr>
                <w:rFonts w:ascii="TH SarabunPSK" w:hAnsi="TH SarabunPSK" w:cs="TH SarabunPSK"/>
                <w:spacing w:val="-10"/>
                <w:sz w:val="32"/>
                <w:sz w:val="32"/>
                <w:szCs w:val="32"/>
              </w:rPr>
              <w:t>ผู้รับการฝึกจะได้รับการฝึกในภาคทฤษฎีและภาคปฏิบัติ โดย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บริษัท วนชัย พาแนล อินดัสทรีย์ จำกัด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H SarabunPSK" w:hAnsi="TH SarabunPSK" w:cs="TH SarabunPSK"/>
                <w:spacing w:val="-10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10"/>
                <w:sz w:val="32"/>
                <w:sz w:val="32"/>
                <w:szCs w:val="32"/>
              </w:rPr>
              <w:t xml:space="preserve">ใช้ระยะเวลาในการฝึก </w:t>
            </w:r>
            <w:r>
              <w:rPr>
                <w:rFonts w:cs="TH SarabunPSK" w:ascii="TH SarabunPSK" w:hAnsi="TH SarabunPSK"/>
                <w:spacing w:val="-10"/>
                <w:sz w:val="32"/>
                <w:szCs w:val="32"/>
              </w:rPr>
              <w:t xml:space="preserve">18  </w:t>
            </w:r>
            <w:r>
              <w:rPr>
                <w:rFonts w:ascii="TH SarabunPSK" w:hAnsi="TH SarabunPSK" w:cs="TH SarabunPSK"/>
                <w:spacing w:val="-10"/>
                <w:sz w:val="32"/>
                <w:sz w:val="32"/>
                <w:szCs w:val="32"/>
              </w:rPr>
              <w:t>ชั่วโมง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H SarabunPSK" w:hAnsi="TH SarabunPSK" w:cs="TH SarabunPSK"/>
                <w:color w:val="FFFFFF"/>
                <w:spacing w:val="-10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    </w:t>
            </w:r>
            <w:r>
              <w:rPr>
                <w:rFonts w:ascii="TH SarabunPSK" w:hAnsi="TH SarabunPSK" w:cs="TH SarabunPSK"/>
                <w:color w:val="FFFFFF"/>
                <w:spacing w:val="-10"/>
                <w:sz w:val="32"/>
                <w:sz w:val="32"/>
                <w:szCs w:val="32"/>
              </w:rPr>
              <w:t>เนื่องจากเป็นการฝึกทสมควร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cs="TH SarabunPSK" w:ascii="TH SarabunPSK" w:hAnsi="TH SarabunPSK"/>
                <w:spacing w:val="-10"/>
                <w:sz w:val="14"/>
                <w:szCs w:val="14"/>
              </w:rPr>
            </w:pPr>
            <w:r>
              <w:rPr>
                <w:rFonts w:cs="TH SarabunPSK" w:ascii="TH SarabunPSK" w:hAnsi="TH SarabunPSK"/>
                <w:spacing w:val="-10"/>
                <w:sz w:val="14"/>
                <w:szCs w:val="14"/>
              </w:rPr>
            </w:r>
          </w:p>
        </w:tc>
      </w:tr>
      <w:tr>
        <w:trPr>
          <w:trHeight w:val="1391" w:hRule="atLeast"/>
          <w:cantSplit w:val="false"/>
        </w:trPr>
        <w:tc>
          <w:tcPr>
            <w:tcW w:w="974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tabs>
                <w:tab w:val="left" w:pos="2400" w:leader="none"/>
              </w:tabs>
              <w:spacing w:lineRule="auto" w:line="240" w:before="0" w:after="0"/>
              <w:jc w:val="left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 xml:space="preserve">3. 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หน่วยความสามารถและโมดูลการฝึก</w:t>
            </w:r>
          </w:p>
          <w:p>
            <w:pPr>
              <w:pStyle w:val="Normal"/>
              <w:tabs>
                <w:tab w:val="left" w:pos="2400" w:leader="none"/>
              </w:tabs>
              <w:spacing w:lineRule="auto" w:line="240" w:before="0" w:after="0"/>
              <w:jc w:val="left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จำนวนหน่วยความสามารถ     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4 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หน่วย</w:t>
            </w:r>
          </w:p>
          <w:p>
            <w:pPr>
              <w:pStyle w:val="Normal"/>
              <w:tabs>
                <w:tab w:val="left" w:pos="2400" w:leader="none"/>
              </w:tabs>
              <w:spacing w:lineRule="auto" w:line="240" w:before="0" w:after="0"/>
              <w:jc w:val="left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จำนวนโมดูลการฝึก             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4 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โมดูล</w:t>
            </w:r>
          </w:p>
          <w:p>
            <w:pPr>
              <w:pStyle w:val="Normal"/>
              <w:tabs>
                <w:tab w:val="left" w:pos="2400" w:leader="none"/>
              </w:tabs>
              <w:spacing w:lineRule="auto" w:line="240" w:before="0" w:after="0"/>
              <w:jc w:val="left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</w:r>
          </w:p>
        </w:tc>
      </w:tr>
      <w:tr>
        <w:trPr>
          <w:trHeight w:val="80" w:hRule="atLeast"/>
          <w:cantSplit w:val="false"/>
        </w:trPr>
        <w:tc>
          <w:tcPr>
            <w:tcW w:w="974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FFFFFF" w:val="clear"/>
          </w:tcPr>
          <w:p>
            <w:pPr>
              <w:pStyle w:val="Normal"/>
              <w:tabs>
                <w:tab w:val="left" w:pos="2400" w:leader="none"/>
              </w:tabs>
              <w:spacing w:lineRule="auto" w:line="240" w:before="0" w:after="0"/>
              <w:jc w:val="left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 xml:space="preserve">4. 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วุฒิบัตร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ประกาศนียบัตร</w:t>
            </w:r>
          </w:p>
          <w:p>
            <w:pPr>
              <w:pStyle w:val="Normal"/>
              <w:tabs>
                <w:tab w:val="left" w:pos="993" w:leader="none"/>
              </w:tabs>
              <w:spacing w:lineRule="auto" w:line="240" w:before="0" w:after="0"/>
              <w:ind w:left="360" w:right="0" w:hanging="0"/>
              <w:jc w:val="left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 xml:space="preserve">4.1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ชื่อเต็ม 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: ………………………………………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สาขา ผู้ควบคุมเครื่องโรยฝอยไม้ 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(Former Operators) </w:t>
            </w:r>
          </w:p>
          <w:p>
            <w:pPr>
              <w:pStyle w:val="Normal"/>
              <w:tabs>
                <w:tab w:val="left" w:pos="709" w:leader="none"/>
                <w:tab w:val="left" w:pos="1134" w:leader="none"/>
              </w:tabs>
              <w:spacing w:lineRule="auto" w:line="240" w:before="0" w:after="0"/>
              <w:ind w:left="360" w:right="0" w:hanging="0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4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.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2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ชื่อย่อ 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: …………………..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สาขา ผู้ควบคุมเครื่องโรยฝอยไม้ </w:t>
            </w:r>
            <w:r>
              <w:rPr>
                <w:rFonts w:cs="TH SarabunPSK" w:ascii="TH SarabunPSK" w:hAnsi="TH SarabunPSK"/>
                <w:sz w:val="32"/>
                <w:szCs w:val="32"/>
              </w:rPr>
              <w:t>(Former Operators)</w:t>
            </w:r>
          </w:p>
          <w:p>
            <w:pPr>
              <w:pStyle w:val="Normal"/>
              <w:tabs>
                <w:tab w:val="left" w:pos="2400" w:leader="none"/>
              </w:tabs>
              <w:spacing w:lineRule="auto" w:line="240" w:before="0" w:after="0"/>
              <w:jc w:val="left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cs="TH SarabunPSK" w:ascii="TH SarabunPSK" w:hAnsi="TH SarabunPSK"/>
                <w:sz w:val="32"/>
                <w:szCs w:val="32"/>
              </w:rPr>
              <w:t>4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.</w:t>
            </w:r>
            <w:r>
              <w:rPr>
                <w:rFonts w:cs="TH SarabunPSK" w:ascii="TH SarabunPSK" w:hAnsi="TH SarabunPSK"/>
                <w:sz w:val="32"/>
                <w:szCs w:val="32"/>
              </w:rPr>
              <w:t>3</w:t>
            </w:r>
            <w:r>
              <w:rPr>
                <w:rFonts w:cs="TH SarabunPSK" w:ascii="TH SarabunPSK" w:hAnsi="TH SarabunPSK"/>
                <w:spacing w:val="-6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/>
                <w:spacing w:val="-6"/>
                <w:sz w:val="32"/>
                <w:sz w:val="32"/>
                <w:szCs w:val="32"/>
              </w:rPr>
              <w:t>ผู้รับการฝึกที่ผ่านการประเมินผลหรือผ่านการฝึกครบทุกหน่วยความสามารถ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 xml:space="preserve"> จะได้รับวุฒิบัตร สาขา ผู้ควบคุมเครื่องโรยฝอยไม้ 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(Former Operators) 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p>
      <w:pPr>
        <w:pStyle w:val="Normal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p>
      <w:pPr>
        <w:pStyle w:val="Normal"/>
        <w:pageBreakBefore/>
        <w:spacing w:lineRule="auto" w:line="240" w:before="0" w:after="0"/>
        <w:jc w:val="center"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รายละเอียดหลักสูตรการฝึก</w:t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ชื่อหลักสูตร ผู้ควบคุมเครื่องโรยฝอยไม้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(Former Operators) </w:t>
        <w:tab/>
        <w:tab/>
        <w:tab/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รหัส </w:t>
      </w:r>
      <w:r>
        <w:rPr>
          <w:rFonts w:cs="TH SarabunPSK" w:ascii="TH SarabunPSK" w:hAnsi="TH SarabunPSK"/>
          <w:sz w:val="32"/>
          <w:szCs w:val="32"/>
        </w:rPr>
        <w:t>xxxxxx</w:t>
      </w:r>
      <w:r>
        <w:rPr>
          <w:rFonts w:cs="TH SarabunPSK" w:ascii="TH SarabunPSK" w:hAnsi="TH SarabunPSK"/>
          <w:b/>
          <w:bCs/>
          <w:sz w:val="32"/>
          <w:szCs w:val="32"/>
        </w:rPr>
        <w:t>xx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ระยะเวลาการฝึก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18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ชั่วโมง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วัตถุประสงค์ของหลักสูตร </w:t>
      </w:r>
      <w:r>
        <w:rPr>
          <w:rFonts w:cs="TH SarabunPSK" w:ascii="TH SarabunPSK" w:hAnsi="TH SarabunPSK"/>
          <w:b/>
          <w:bCs/>
          <w:sz w:val="32"/>
          <w:szCs w:val="32"/>
        </w:rPr>
        <w:t>(Courses Objective):</w:t>
      </w:r>
    </w:p>
    <w:p>
      <w:pPr>
        <w:pStyle w:val="Normal"/>
        <w:spacing w:lineRule="auto" w:line="240" w:before="0" w:after="0"/>
        <w:ind w:left="0" w:right="0" w:firstLine="360"/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  <w:t>หลักสูตรนี้พัฒนาขึ้นให้ครอบคลุมความสามารถด้านความรู้ ทักษะและเจตคติแก่ผู้เข้ารับการฝึกในสาขาผู้ควบคุมเครื่องโรยฝอยไม้ เพื่อให้สามารถปฏิบัติงานได้ ดังนี้</w:t>
      </w:r>
    </w:p>
    <w:p>
      <w:pPr>
        <w:pStyle w:val="ListParagraph"/>
        <w:numPr>
          <w:ilvl w:val="0"/>
          <w:numId w:val="17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  <w:t>ปฏิบัติงานได้อย่างปลอดภัย</w:t>
      </w:r>
    </w:p>
    <w:p>
      <w:pPr>
        <w:pStyle w:val="ListParagraph"/>
        <w:numPr>
          <w:ilvl w:val="0"/>
          <w:numId w:val="17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  <w:t>ควบคุมการผลิตเครื่องโรยฝอยไม้ได้</w:t>
      </w:r>
    </w:p>
    <w:p>
      <w:pPr>
        <w:pStyle w:val="ListParagraph"/>
        <w:numPr>
          <w:ilvl w:val="0"/>
          <w:numId w:val="17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บำรุงรักษาเครื่องโรยฝอยไม้</w:t>
      </w:r>
      <w:r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  <w:t>ได้</w:t>
      </w:r>
    </w:p>
    <w:p>
      <w:pPr>
        <w:pStyle w:val="ListParagraph"/>
        <w:numPr>
          <w:ilvl w:val="0"/>
          <w:numId w:val="17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ปฏิบัติงานผลิตได้ตามคู่มือการทำงานของบริษัท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/>
          <w:color w:val="000000"/>
          <w:sz w:val="32"/>
          <w:szCs w:val="32"/>
        </w:rPr>
      </w:pPr>
      <w:r>
        <w:rPr>
          <w:rFonts w:cs="TH SarabunPSK" w:ascii="TH SarabunPSK" w:hAnsi="TH SarabunPSK"/>
          <w:b/>
          <w:color w:val="000000"/>
          <w:sz w:val="32"/>
          <w:szCs w:val="3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TH SarabunPSK" w:ascii="TH SarabunPSK" w:hAnsi="TH SarabunPSK"/>
          <w:b/>
          <w:color w:val="000000"/>
          <w:sz w:val="32"/>
          <w:szCs w:val="32"/>
        </w:rPr>
      </w:pPr>
      <w:r>
        <w:rPr>
          <w:rFonts w:ascii="TH SarabunPSK" w:hAnsi="TH SarabunPSK" w:cs="TH SarabunPSK"/>
          <w:bCs/>
          <w:color w:val="000000"/>
          <w:sz w:val="32"/>
          <w:sz w:val="32"/>
          <w:szCs w:val="32"/>
        </w:rPr>
        <w:t xml:space="preserve">คุณสมบัติของผู้รับการฝึก </w:t>
      </w:r>
      <w:r>
        <w:rPr>
          <w:rFonts w:cs="TH SarabunPSK" w:ascii="TH SarabunPSK" w:hAnsi="TH SarabunPSK"/>
          <w:bCs/>
          <w:color w:val="000000"/>
          <w:sz w:val="32"/>
          <w:szCs w:val="32"/>
        </w:rPr>
        <w:t>(Trainee Entry Requirements)</w:t>
      </w:r>
      <w:r>
        <w:rPr>
          <w:rFonts w:cs="TH SarabunPSK" w:ascii="TH SarabunPSK" w:hAnsi="TH SarabunPSK"/>
          <w:b/>
          <w:color w:val="000000"/>
          <w:sz w:val="32"/>
          <w:szCs w:val="32"/>
        </w:rPr>
        <w:t xml:space="preserve"> </w:t>
      </w:r>
    </w:p>
    <w:p>
      <w:pPr>
        <w:pStyle w:val="ListParagraph"/>
        <w:numPr>
          <w:ilvl w:val="0"/>
          <w:numId w:val="16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มีอายุตั้งแต่ </w:t>
      </w:r>
      <w:r>
        <w:rPr>
          <w:rFonts w:cs="TH SarabunPSK" w:ascii="TH SarabunPSK" w:hAnsi="TH SarabunPSK"/>
          <w:sz w:val="32"/>
          <w:szCs w:val="32"/>
        </w:rPr>
        <w:t xml:space="preserve">18  </w:t>
      </w:r>
      <w:r>
        <w:rPr>
          <w:rFonts w:ascii="TH SarabunPSK" w:hAnsi="TH SarabunPSK" w:cs="TH SarabunPSK"/>
          <w:sz w:val="32"/>
          <w:sz w:val="32"/>
          <w:szCs w:val="32"/>
        </w:rPr>
        <w:t>ปี ขึ้นไป</w:t>
      </w:r>
    </w:p>
    <w:p>
      <w:pPr>
        <w:pStyle w:val="ListParagraph"/>
        <w:numPr>
          <w:ilvl w:val="0"/>
          <w:numId w:val="16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สำเร็จการศึกษา ระดับประกาศนียบัตรวิชาชีพชั้นสูง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>ปวส</w:t>
      </w:r>
      <w:r>
        <w:rPr>
          <w:rFonts w:cs="TH SarabunPSK" w:ascii="TH SarabunPSK" w:hAnsi="TH SarabunPSK"/>
          <w:sz w:val="32"/>
          <w:szCs w:val="32"/>
        </w:rPr>
        <w:t xml:space="preserve">.) </w:t>
      </w:r>
      <w:r>
        <w:rPr>
          <w:rFonts w:ascii="TH SarabunPSK" w:hAnsi="TH SarabunPSK" w:cs="TH SarabunPSK"/>
          <w:sz w:val="32"/>
          <w:sz w:val="32"/>
          <w:szCs w:val="32"/>
        </w:rPr>
        <w:t>สาขาวิชารายอุตสาหกรรม ช่างกลโรงงาน</w:t>
      </w:r>
      <w:r>
        <w:rPr>
          <w:rFonts w:cs="TH SarabunPSK" w:ascii="TH SarabunPSK" w:hAnsi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 w:val="32"/>
          <w:szCs w:val="32"/>
        </w:rPr>
        <w:t>ช่างยนต์</w:t>
      </w:r>
      <w:r>
        <w:rPr>
          <w:rFonts w:cs="TH SarabunPSK" w:ascii="TH SarabunPSK" w:hAnsi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 w:val="32"/>
          <w:szCs w:val="32"/>
        </w:rPr>
        <w:t>ช่างเชื่อม หรือเทียบเท่า</w:t>
      </w:r>
    </w:p>
    <w:p>
      <w:pPr>
        <w:pStyle w:val="ListParagraph"/>
        <w:numPr>
          <w:ilvl w:val="0"/>
          <w:numId w:val="16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มีความสามารถในการเขียน อ่าน ภาษาอังกฤษ ระดับพื้นฐาน</w:t>
      </w:r>
    </w:p>
    <w:p>
      <w:pPr>
        <w:pStyle w:val="ListParagraph"/>
        <w:numPr>
          <w:ilvl w:val="0"/>
          <w:numId w:val="16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มีความพร้อมทางร่างกายและจิตใจที่จะเข้ารับการฝึก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/>
          <w:color w:val="000000"/>
          <w:sz w:val="32"/>
          <w:szCs w:val="32"/>
        </w:rPr>
      </w:pPr>
      <w:r>
        <w:rPr>
          <w:rFonts w:cs="TH SarabunPSK" w:ascii="TH SarabunPSK" w:hAnsi="TH SarabunPSK"/>
          <w:b/>
          <w:color w:val="000000"/>
          <w:sz w:val="32"/>
          <w:szCs w:val="3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Cs/>
          <w:color w:val="000000"/>
          <w:sz w:val="32"/>
          <w:sz w:val="32"/>
          <w:szCs w:val="32"/>
        </w:rPr>
        <w:t xml:space="preserve">โครงสร้างหลักสูตร </w:t>
      </w:r>
      <w:r>
        <w:rPr>
          <w:rFonts w:cs="TH SarabunPSK" w:ascii="TH SarabunPSK" w:hAnsi="TH SarabunPSK"/>
          <w:bCs/>
          <w:color w:val="000000"/>
          <w:sz w:val="32"/>
          <w:szCs w:val="32"/>
        </w:rPr>
        <w:t>(Course Structure)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Cs/>
          <w:color w:val="000000"/>
          <w:sz w:val="32"/>
          <w:szCs w:val="32"/>
        </w:rPr>
      </w:pPr>
      <w:r>
        <w:rPr>
          <w:rFonts w:cs="TH SarabunPSK" w:ascii="TH SarabunPSK" w:hAnsi="TH SarabunPSK"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b/>
          <w:color w:val="000000"/>
          <w:sz w:val="20"/>
          <w:szCs w:val="20"/>
        </w:rPr>
      </w:pPr>
      <w:r>
        <w:rPr>
          <w:rFonts w:cs="TH SarabunPSK" w:ascii="TH SarabunPSK" w:hAnsi="TH SarabunPSK"/>
          <w:b/>
          <w:color w:val="000000"/>
          <w:sz w:val="20"/>
          <w:szCs w:val="20"/>
        </w:rPr>
      </w:r>
    </w:p>
    <w:tbl>
      <w:tblPr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1169"/>
        <w:gridCol w:w="1461"/>
        <w:gridCol w:w="4456"/>
        <w:gridCol w:w="1169"/>
        <w:gridCol w:w="1078"/>
      </w:tblGrid>
      <w:tr>
        <w:trPr>
          <w:cantSplit w:val="false"/>
        </w:trPr>
        <w:tc>
          <w:tcPr>
            <w:tcW w:w="11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รหัสโมดูล</w:t>
            </w:r>
          </w:p>
        </w:tc>
        <w:tc>
          <w:tcPr>
            <w:tcW w:w="14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โมดูลการฝึก</w:t>
            </w:r>
          </w:p>
        </w:tc>
        <w:tc>
          <w:tcPr>
            <w:tcW w:w="44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 xml:space="preserve">วัตถุประสงค์ของโมดูล 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(LO)</w:t>
            </w:r>
          </w:p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หรือ รายการความสามารถย่อย</w:t>
            </w:r>
          </w:p>
        </w:tc>
        <w:tc>
          <w:tcPr>
            <w:tcW w:w="22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ระยะเวลาการฝึก</w:t>
            </w:r>
          </w:p>
        </w:tc>
      </w:tr>
      <w:tr>
        <w:trPr>
          <w:cantSplit w:val="false"/>
        </w:trPr>
        <w:tc>
          <w:tcPr>
            <w:tcW w:w="11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r>
          </w:p>
        </w:tc>
        <w:tc>
          <w:tcPr>
            <w:tcW w:w="14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r>
          </w:p>
        </w:tc>
        <w:tc>
          <w:tcPr>
            <w:tcW w:w="44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r>
          </w:p>
        </w:tc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ท</w:t>
            </w:r>
          </w:p>
        </w:tc>
        <w:tc>
          <w:tcPr>
            <w:tcW w:w="1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ป</w:t>
            </w:r>
          </w:p>
        </w:tc>
      </w:tr>
      <w:tr>
        <w:trPr>
          <w:cantSplit w:val="false"/>
        </w:trPr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Cs/>
                <w:color w:val="000000"/>
                <w:sz w:val="32"/>
                <w:szCs w:val="32"/>
              </w:rPr>
            </w:pPr>
            <w:r>
              <w:rPr>
                <w:rFonts w:cs="TH SarabunPSK" w:ascii="TH SarabunPSK" w:hAnsi="TH SarabunPSK"/>
                <w:bCs/>
                <w:color w:val="000000"/>
                <w:sz w:val="32"/>
                <w:szCs w:val="32"/>
              </w:rPr>
              <w:t>M1</w:t>
            </w:r>
          </w:p>
        </w:tc>
        <w:tc>
          <w:tcPr>
            <w:tcW w:w="14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ความปลอดภัยในงาน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ปฏิบัติงานได้อย่างปลอดภัยตามคู่มือมาตรฐานการปฏิบัติงานของบริษัท</w:t>
            </w:r>
          </w:p>
        </w:tc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0.5</w:t>
            </w:r>
          </w:p>
        </w:tc>
        <w:tc>
          <w:tcPr>
            <w:tcW w:w="1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0</w:t>
            </w:r>
          </w:p>
        </w:tc>
      </w:tr>
      <w:tr>
        <w:trPr>
          <w:trHeight w:val="2208" w:hRule="atLeast"/>
          <w:cantSplit w:val="false"/>
        </w:trPr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M2</w:t>
            </w:r>
          </w:p>
        </w:tc>
        <w:tc>
          <w:tcPr>
            <w:tcW w:w="14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การ</w:t>
            </w:r>
            <w:r>
              <w:rPr>
                <w:rFonts w:ascii="TH SarabunPSK" w:hAnsi="TH SarabunPSK" w:cs="TH SarabunPSK"/>
                <w:b/>
                <w:b/>
                <w:color w:val="000000"/>
                <w:sz w:val="32"/>
                <w:sz w:val="32"/>
                <w:szCs w:val="32"/>
              </w:rPr>
              <w:t>ควบคุมการผลิตเครื่องโรยฝอย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ไม้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ตรวจสอบเครื่องโรยฝอยไม้ได้ตามมาตรฐานของบริษัท</w:t>
            </w:r>
          </w:p>
          <w:p>
            <w:pPr>
              <w:pStyle w:val="ListParagraph"/>
              <w:numPr>
                <w:ilvl w:val="0"/>
                <w:numId w:val="14"/>
              </w:numPr>
              <w:spacing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ปรับตั้งค่าเครื่องโรยฝอยไม้ได้ตามค่ามาตรฐานที่กำหนด</w:t>
            </w:r>
          </w:p>
          <w:p>
            <w:pPr>
              <w:pStyle w:val="ListParagraph"/>
              <w:numPr>
                <w:ilvl w:val="0"/>
                <w:numId w:val="14"/>
              </w:numPr>
              <w:spacing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จัดทำรายงานการผลิตได้ตามรูปแบบที่บริษัทกำหนด</w:t>
            </w:r>
          </w:p>
        </w:tc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2</w:t>
            </w:r>
          </w:p>
        </w:tc>
        <w:tc>
          <w:tcPr>
            <w:tcW w:w="1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7</w:t>
            </w:r>
          </w:p>
        </w:tc>
      </w:tr>
      <w:tr>
        <w:trPr>
          <w:trHeight w:val="1095" w:hRule="atLeast"/>
          <w:cantSplit w:val="false"/>
        </w:trPr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M3</w:t>
            </w:r>
          </w:p>
        </w:tc>
        <w:tc>
          <w:tcPr>
            <w:tcW w:w="14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การบำรุงรักษาเครื่องโรยฝอยไม้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ทำความสะอาดเครื่องโรยฝอยไม้ได้ตามมาตรฐานของบริษัท</w:t>
            </w:r>
          </w:p>
          <w:p>
            <w:pPr>
              <w:pStyle w:val="ListParagraph"/>
              <w:numPr>
                <w:ilvl w:val="0"/>
                <w:numId w:val="15"/>
              </w:numPr>
              <w:spacing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เปลี่ยนชิ้นส่วนที่ชำรุดเสียหายเบื้องต้นได้</w:t>
            </w:r>
          </w:p>
          <w:p>
            <w:pPr>
              <w:pStyle w:val="ListParagraph"/>
              <w:numPr>
                <w:ilvl w:val="0"/>
                <w:numId w:val="15"/>
              </w:numPr>
              <w:spacing w:before="0" w:after="0"/>
              <w:contextualSpacing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ปฏิบัติงานบำรุงรักษาร่วมกับช่างซ่อมบำรุงเครื่องโรยฝอยไม้ตามแผนบำรุงรักษาประจำปีได้</w:t>
            </w:r>
          </w:p>
        </w:tc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2</w:t>
            </w:r>
          </w:p>
        </w:tc>
        <w:tc>
          <w:tcPr>
            <w:tcW w:w="1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4</w:t>
            </w:r>
          </w:p>
        </w:tc>
      </w:tr>
      <w:tr>
        <w:trPr>
          <w:trHeight w:val="1105" w:hRule="atLeast"/>
          <w:cantSplit w:val="false"/>
        </w:trPr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M4</w:t>
            </w:r>
          </w:p>
        </w:tc>
        <w:tc>
          <w:tcPr>
            <w:tcW w:w="14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การปฏิบัติงานผลิตตามมาตรฐานของบริษัท</w:t>
            </w:r>
          </w:p>
        </w:tc>
        <w:tc>
          <w:tcPr>
            <w:tcW w:w="4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ปฏิบัติงานได้ตามขั้นตอนการปฏิบัติงาน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(work instruction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ที่บริษัทกำหนด</w:t>
            </w:r>
            <w:r>
              <w:rPr>
                <w:rFonts w:cs="TH SarabunPSK" w:ascii="TH SarabunPSK" w:hAnsi="TH SarabunPSK"/>
                <w:sz w:val="32"/>
                <w:szCs w:val="32"/>
              </w:rPr>
              <w:t>)</w:t>
            </w:r>
          </w:p>
        </w:tc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0.5</w:t>
            </w:r>
          </w:p>
        </w:tc>
        <w:tc>
          <w:tcPr>
            <w:tcW w:w="1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2</w:t>
            </w:r>
          </w:p>
        </w:tc>
      </w:tr>
      <w:tr>
        <w:trPr>
          <w:cantSplit w:val="false"/>
        </w:trPr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nil"/>
              <w:insideV w:val="nil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</w:r>
          </w:p>
        </w:tc>
        <w:tc>
          <w:tcPr>
            <w:tcW w:w="5917" w:type="dxa"/>
            <w:gridSpan w:val="2"/>
            <w:tcBorders>
              <w:top w:val="single" w:sz="4" w:space="0" w:color="00000A"/>
              <w:left w:val="nil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13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รวม</w:t>
            </w:r>
          </w:p>
        </w:tc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0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13</w:t>
            </w:r>
          </w:p>
        </w:tc>
      </w:tr>
      <w:tr>
        <w:trPr>
          <w:cantSplit w:val="false"/>
        </w:trPr>
        <w:tc>
          <w:tcPr>
            <w:tcW w:w="11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nil"/>
              <w:insideV w:val="nil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</w:r>
          </w:p>
        </w:tc>
        <w:tc>
          <w:tcPr>
            <w:tcW w:w="5917" w:type="dxa"/>
            <w:gridSpan w:val="2"/>
            <w:tcBorders>
              <w:top w:val="single" w:sz="4" w:space="0" w:color="00000A"/>
              <w:left w:val="nil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113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r>
          </w:p>
        </w:tc>
        <w:tc>
          <w:tcPr>
            <w:tcW w:w="22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FFFFFF" w:val="clear"/>
            <w:tcMar>
              <w:left w:w="98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18</w:t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วิธีการประเมินผล </w:t>
      </w:r>
      <w:r>
        <w:rPr>
          <w:rFonts w:cs="TH SarabunPSK" w:ascii="TH SarabunPSK" w:hAnsi="TH SarabunPSK"/>
          <w:b/>
          <w:bCs/>
          <w:sz w:val="32"/>
          <w:szCs w:val="32"/>
        </w:rPr>
        <w:t>(Assessment Methods):</w:t>
      </w:r>
      <w:r>
        <w:rPr/>
        <w:t xml:space="preserve"> </w:t>
      </w:r>
      <w:r>
        <w:rPr>
          <w:rFonts w:ascii="TH SarabunPSK" w:hAnsi="TH SarabunPSK" w:cs="TH SarabunPSK"/>
          <w:sz w:val="32"/>
          <w:sz w:val="32"/>
          <w:szCs w:val="32"/>
        </w:rPr>
        <w:t>ประเมินผลทั้งภาคทฤษฎีและภาคปฏิบัติตามเกณฑ์ที่กำหนด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สอบข้อเขียน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อัตนัย </w:t>
      </w:r>
      <w:r>
        <w:rPr>
          <w:rFonts w:cs="TH SarabunPSK" w:ascii="TH SarabunPSK" w:hAnsi="TH SarabunPSK"/>
          <w:sz w:val="32"/>
          <w:szCs w:val="32"/>
        </w:rPr>
        <w:t>/</w:t>
      </w:r>
      <w:r>
        <w:rPr>
          <w:rFonts w:ascii="TH SarabunPSK" w:hAnsi="TH SarabunPSK" w:cs="TH SarabunPSK"/>
          <w:sz w:val="32"/>
          <w:sz w:val="32"/>
          <w:szCs w:val="32"/>
        </w:rPr>
        <w:t>ปรนัย</w:t>
      </w:r>
      <w:r>
        <w:rPr>
          <w:rFonts w:cs="TH SarabunPSK" w:ascii="TH SarabunPSK" w:hAnsi="TH SarabunPSK"/>
          <w:sz w:val="32"/>
          <w:szCs w:val="32"/>
        </w:rPr>
        <w:t>)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สอบปฏิบัติ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>ให้แสดงทักษะ</w:t>
      </w:r>
      <w:r>
        <w:rPr>
          <w:rFonts w:cs="TH SarabunPSK" w:ascii="TH SarabunPSK" w:hAnsi="TH SarabunPSK"/>
          <w:sz w:val="32"/>
          <w:szCs w:val="32"/>
        </w:rPr>
        <w:t>)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วิธีการฝึกอบรม </w:t>
      </w:r>
      <w:r>
        <w:rPr>
          <w:rFonts w:cs="TH SarabunPSK" w:ascii="TH SarabunPSK" w:hAnsi="TH SarabunPSK"/>
          <w:b/>
          <w:bCs/>
          <w:sz w:val="32"/>
          <w:szCs w:val="32"/>
        </w:rPr>
        <w:t>(Course Methodologies):</w:t>
      </w:r>
      <w:r>
        <w:rPr>
          <w:rFonts w:cs="TH SarabunPSK"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ฝึกภาคทฤษฎี </w:t>
      </w:r>
      <w:r>
        <w:rPr>
          <w:rFonts w:cs="TH SarabunPSK" w:ascii="TH SarabunPSK" w:hAnsi="TH SarabunPSK"/>
          <w:sz w:val="32"/>
          <w:szCs w:val="32"/>
        </w:rPr>
        <w:t xml:space="preserve">: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ภาคปฏิบัติ </w:t>
      </w:r>
      <w:r>
        <w:rPr>
          <w:rFonts w:cs="TH SarabunPSK" w:ascii="TH SarabunPSK" w:hAnsi="TH SarabunPSK"/>
          <w:sz w:val="32"/>
          <w:szCs w:val="32"/>
        </w:rPr>
        <w:t>(30 : 70)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ฝึกแบบโมดูล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ครูให้คำแนะนำ หรือ บรรยาย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สาธิตการปฏิบัติงานและฝึกปฏิบัติงาน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เรียนรู้หรือฝึกจากสื่อต่างๆ เช่น สื่อกระดาษ  สื่ออิเล็กทรอนิกส์ สื่อวีดิทัศน์ เป็นต้น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เครื่องมือ เครื่องจักร วัสดุและอุปกรณ์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(Resources)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ในหลักสูตร</w:t>
      </w:r>
    </w:p>
    <w:p>
      <w:pPr>
        <w:pStyle w:val="Normal"/>
        <w:spacing w:lineRule="auto" w:line="240" w:before="0" w:after="0"/>
        <w:rPr/>
      </w:pPr>
      <w:r>
        <w:rPr/>
      </w:r>
    </w:p>
    <w:tbl>
      <w:tblPr>
        <w:jc w:val="left"/>
        <w:tblInd w:w="-20" w:type="dxa"/>
        <w:tblBorders>
          <w:top w:val="single" w:sz="8" w:space="0" w:color="8064A2"/>
          <w:left w:val="single" w:sz="8" w:space="0" w:color="8064A2"/>
          <w:bottom w:val="single" w:sz="18" w:space="0" w:color="8064A2"/>
          <w:insideH w:val="single" w:sz="18" w:space="0" w:color="8064A2"/>
          <w:right w:val="single" w:sz="8" w:space="0" w:color="8064A2"/>
          <w:insideV w:val="single" w:sz="8" w:space="0" w:color="8064A2"/>
        </w:tblBorders>
        <w:tblCellMar>
          <w:top w:w="0" w:type="dxa"/>
          <w:left w:w="87" w:type="dxa"/>
          <w:bottom w:w="0" w:type="dxa"/>
          <w:right w:w="108" w:type="dxa"/>
        </w:tblCellMar>
      </w:tblPr>
      <w:tblGrid>
        <w:gridCol w:w="6910"/>
        <w:gridCol w:w="848"/>
        <w:gridCol w:w="1484"/>
      </w:tblGrid>
      <w:tr>
        <w:trPr>
          <w:cantSplit w:val="false"/>
        </w:trPr>
        <w:tc>
          <w:tcPr>
            <w:tcW w:w="9242" w:type="dxa"/>
            <w:gridSpan w:val="3"/>
            <w:tcBorders>
              <w:top w:val="single" w:sz="8" w:space="0" w:color="8064A2"/>
              <w:left w:val="single" w:sz="8" w:space="0" w:color="8064A2"/>
              <w:bottom w:val="single" w:sz="18" w:space="0" w:color="8064A2"/>
              <w:insideH w:val="single" w:sz="1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right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 xml:space="preserve">ต่อจำนวนผู้รับการฝึก 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 xml:space="preserve">16 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คน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 xml:space="preserve">เครื่องมือ 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 xml:space="preserve">(Tools) 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 xml:space="preserve">เครื่องจักร 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(Machines)</w:t>
            </w: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และอุปกรณ์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(Equipment)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จำนวน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หน่วยนับ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 xml:space="preserve">อุปกรณ์ป้องกันส่วนบุคคล </w:t>
            </w: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(PPE : Personal Protector Equipments)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ชุด</w:t>
            </w:r>
            <w:r>
              <w:rPr>
                <w:rFonts w:cs="TH SarabunPSK" w:ascii="TH SarabunPSK" w:hAnsi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คน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 xml:space="preserve">เครื่องโรยฝอยไม้ </w:t>
            </w: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(Former Machine)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เครื่อง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รายงานผลการผลิต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ชุด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สมุดรายงานผลการควบคุมเครื่องโรยฝอยไม้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เล่ม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 xml:space="preserve">รายการตรวจเช็คผลการผลิต </w:t>
            </w: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(Check list)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ชุด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ผ้าเช็ดมือ เครื่องมือทำความสะอาด หรือ หัวเป่าลม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ชุด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นาฬิกา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เรือน</w:t>
            </w:r>
          </w:p>
        </w:tc>
      </w:tr>
      <w:tr>
        <w:trPr>
          <w:cantSplit w:val="false"/>
        </w:trPr>
        <w:tc>
          <w:tcPr>
            <w:tcW w:w="691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อื่นๆ ที่ต้องใช้ตามลักษณะของหน้างาน</w:t>
            </w:r>
          </w:p>
        </w:tc>
        <w:tc>
          <w:tcPr>
            <w:tcW w:w="84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</w:r>
          </w:p>
        </w:tc>
        <w:tc>
          <w:tcPr>
            <w:tcW w:w="14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insideH w:val="single" w:sz="8" w:space="0" w:color="8064A2"/>
              <w:right w:val="single" w:sz="8" w:space="0" w:color="8064A2"/>
              <w:insideV w:val="single" w:sz="8" w:space="0" w:color="8064A2"/>
            </w:tcBorders>
            <w:shd w:fill="DFD8E8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คุณสมบัติของครูฝึก</w:t>
      </w:r>
      <w:r>
        <w:rPr>
          <w:rFonts w:cs="TH SarabunPSK" w:ascii="TH SarabunPSK" w:hAnsi="TH SarabunPSK"/>
          <w:b/>
          <w:bCs/>
          <w:sz w:val="32"/>
          <w:szCs w:val="32"/>
        </w:rPr>
        <w:t>/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วิทยากร  </w:t>
      </w:r>
      <w:r>
        <w:rPr>
          <w:rFonts w:cs="TH SarabunPSK" w:ascii="TH SarabunPSK" w:hAnsi="TH SarabunPSK"/>
          <w:b/>
          <w:bCs/>
          <w:sz w:val="32"/>
          <w:szCs w:val="32"/>
        </w:rPr>
        <w:t>(Qualification of Instructors or Trainers)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ผ่านการคัดเลือกตามข้อกำหนดของบริษัท วนชัย พาแนล อินดัสทรี่ส์ จำกัด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มีประสบการณ์ในงานควบคุมเครื่องโรยฝอยไม้ ไม่น้อยกว่า </w:t>
      </w:r>
      <w:r>
        <w:rPr>
          <w:rFonts w:cs="TH SarabunPSK" w:ascii="TH SarabunPSK" w:hAnsi="TH SarabunPSK"/>
          <w:sz w:val="32"/>
          <w:szCs w:val="32"/>
        </w:rPr>
        <w:t xml:space="preserve">5 </w:t>
      </w:r>
      <w:r>
        <w:rPr>
          <w:rFonts w:ascii="TH SarabunPSK" w:hAnsi="TH SarabunPSK" w:cs="TH SarabunPSK"/>
          <w:sz w:val="32"/>
          <w:sz w:val="32"/>
          <w:szCs w:val="32"/>
        </w:rPr>
        <w:t>ปี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ผ่านการฝึกอบรมหลักสูตร เทคนิคการสอนงานจากสถาบันฯหรือศูนย์พัฒนาฝีมือแรงงาน ของกรมพัฒนาฝีมือแรงงาน กระทรวงแรงงาน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รายละเอียดโมดูลการฝึก </w:t>
      </w:r>
      <w:r>
        <w:rPr>
          <w:rFonts w:cs="TH SarabunPSK" w:ascii="TH SarabunPSK" w:hAnsi="TH SarabunPSK"/>
          <w:b/>
          <w:bCs/>
          <w:sz w:val="32"/>
          <w:szCs w:val="32"/>
        </w:rPr>
        <w:t>(Modules)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ชื่อโมดูลการฝึก ความปลอดภัยในงาน</w:t>
      </w:r>
      <w:r>
        <w:rPr>
          <w:rFonts w:cs="TH SarabunPSK" w:ascii="TH SarabunPSK" w:hAnsi="TH SarabunPSK"/>
          <w:b/>
          <w:bCs/>
          <w:sz w:val="32"/>
          <w:szCs w:val="32"/>
        </w:rPr>
        <w:tab/>
        <w:tab/>
        <w:tab/>
        <w:tab/>
        <w:tab/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รหัสโมดูล </w:t>
      </w:r>
      <w:r>
        <w:rPr>
          <w:rFonts w:cs="TH SarabunPSK" w:ascii="TH SarabunPSK" w:hAnsi="TH SarabunPSK"/>
          <w:b/>
          <w:bCs/>
          <w:sz w:val="32"/>
          <w:szCs w:val="32"/>
        </w:rPr>
        <w:t>M1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ระยะเวลาการฝึก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0.5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ชั่วโมง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วัตถุประสงค์ของโมดูล </w:t>
      </w:r>
      <w:r>
        <w:rPr>
          <w:rFonts w:cs="TH SarabunPSK" w:ascii="TH SarabunPSK" w:hAnsi="TH SarabunPSK"/>
          <w:b/>
          <w:bCs/>
          <w:sz w:val="32"/>
          <w:szCs w:val="32"/>
        </w:rPr>
        <w:t>(Modules Objectives):</w:t>
      </w:r>
    </w:p>
    <w:p>
      <w:pPr>
        <w:pStyle w:val="Normal"/>
        <w:spacing w:lineRule="auto" w:line="240" w:before="0" w:after="0"/>
        <w:ind w:left="0" w:right="0" w:firstLine="360"/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  <w:t>โมดูลการฝึกนี้พัฒนาขึ้นให้ครอบคลุมความสามารถด้านความรู้ ทักษะและเจตคติแก่ผู้เข้ารับการฝึกในสาขาอาชีพช่างบำรุงรักษารถยนต์ เพื่อให้สามารถปฏิบัติงานได้ ดังนี้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>-</w:t>
      </w:r>
      <w:r>
        <w:rPr>
          <w:rFonts w:ascii="TH SarabunPSK" w:hAnsi="TH SarabunPSK" w:cs="TH SarabunPSK"/>
          <w:sz w:val="32"/>
          <w:sz w:val="32"/>
          <w:szCs w:val="32"/>
        </w:rPr>
        <w:t>ปฎิบัติงานได้อย่างปลอดภัยตามคู่มือมาตรฐานการปฏิบัติงานของบริษัท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720" w:right="0" w:hanging="36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พื้นฐานความรู้ความสามารถที่ต้องมีก่อนเข้าฝึกในโมดุลการฝึกนี้ </w:t>
      </w:r>
      <w:r>
        <w:rPr>
          <w:rFonts w:cs="TH SarabunPSK" w:ascii="TH SarabunPSK" w:hAnsi="TH SarabunPSK"/>
          <w:b/>
          <w:bCs/>
          <w:sz w:val="32"/>
          <w:szCs w:val="32"/>
        </w:rPr>
        <w:t>(Prerequisite)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ความปลอดภัยเบื้องต้น และ การปฐมพยาบาลเบื้องต้น 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16"/>
          <w:szCs w:val="16"/>
        </w:rPr>
      </w:pPr>
      <w:r>
        <w:rPr>
          <w:rFonts w:cs="TH SarabunPSK" w:ascii="TH SarabunPSK" w:hAnsi="TH SarabunPSK"/>
          <w:sz w:val="16"/>
          <w:szCs w:val="16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720" w:right="0" w:hanging="36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ผลลัพธ์การเรียนรู้ที่ต้องการ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(Learning Outcomes) : </w:t>
      </w:r>
      <w:r>
        <w:rPr>
          <w:rFonts w:ascii="TH SarabunPSK" w:hAnsi="TH SarabunPSK" w:cs="TH SarabunPSK"/>
          <w:sz w:val="32"/>
          <w:sz w:val="32"/>
          <w:szCs w:val="32"/>
        </w:rPr>
        <w:t>เมื่อสำเร็จการฝึกในโมดูลการฝึกนี้ ผู้เข้ารับการฝึกสามารถปฏิบัติงานโดยมีสมรรถนะ และระยะเวลาการฝึก ดังนี้</w:t>
      </w:r>
    </w:p>
    <w:p>
      <w:pPr>
        <w:pStyle w:val="Normal"/>
        <w:spacing w:lineRule="auto" w:line="240" w:before="0" w:after="0"/>
        <w:ind w:left="3" w:right="0" w:hanging="0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tbl>
      <w:tblPr>
        <w:jc w:val="left"/>
        <w:tblInd w:w="-20" w:type="dxa"/>
        <w:tblBorders>
          <w:top w:val="single" w:sz="8" w:space="0" w:color="9BBB59"/>
          <w:left w:val="single" w:sz="8" w:space="0" w:color="9BBB59"/>
          <w:bottom w:val="single" w:sz="18" w:space="0" w:color="9BBB59"/>
          <w:insideH w:val="single" w:sz="18" w:space="0" w:color="9BBB59"/>
          <w:right w:val="single" w:sz="8" w:space="0" w:color="9BBB59"/>
          <w:insideV w:val="single" w:sz="8" w:space="0" w:color="9BBB59"/>
        </w:tblBorders>
        <w:tblCellMar>
          <w:top w:w="0" w:type="dxa"/>
          <w:left w:w="87" w:type="dxa"/>
          <w:bottom w:w="0" w:type="dxa"/>
          <w:right w:w="108" w:type="dxa"/>
        </w:tblCellMar>
      </w:tblPr>
      <w:tblGrid>
        <w:gridCol w:w="3588"/>
        <w:gridCol w:w="3857"/>
        <w:gridCol w:w="2"/>
        <w:gridCol w:w="966"/>
        <w:gridCol w:w="2"/>
        <w:gridCol w:w="917"/>
      </w:tblGrid>
      <w:tr>
        <w:trPr>
          <w:trHeight w:val="61" w:hRule="atLeast"/>
          <w:cantSplit w:val="false"/>
        </w:trPr>
        <w:tc>
          <w:tcPr>
            <w:tcW w:w="35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insideH w:val="single" w:sz="1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วัตถุประสงค์ของโมดูล</w:t>
            </w:r>
          </w:p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หรือ รายการความสามารถ</w:t>
            </w:r>
          </w:p>
        </w:tc>
        <w:tc>
          <w:tcPr>
            <w:tcW w:w="3857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insideH w:val="single" w:sz="1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 xml:space="preserve">หัวข้อวิชา 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(Contents)</w:t>
            </w:r>
          </w:p>
        </w:tc>
        <w:tc>
          <w:tcPr>
            <w:tcW w:w="1887" w:type="dxa"/>
            <w:gridSpan w:val="4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insideH w:val="single" w:sz="1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ระยะเวลาการฝึก</w:t>
            </w:r>
          </w:p>
        </w:tc>
      </w:tr>
      <w:tr>
        <w:trPr>
          <w:trHeight w:val="36" w:hRule="atLeast"/>
          <w:cantSplit w:val="false"/>
        </w:trPr>
        <w:tc>
          <w:tcPr>
            <w:tcW w:w="3588" w:type="dxa"/>
            <w:vMerge w:val="continue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" w:ascii="Cambria" w:hAnsi="Cambria"/>
                <w:b/>
                <w:bCs/>
                <w:sz w:val="32"/>
                <w:szCs w:val="32"/>
              </w:rPr>
            </w:pPr>
            <w:r>
              <w:rPr>
                <w:rFonts w:cs="" w:ascii="Cambria" w:hAnsi="Cambria"/>
                <w:b/>
                <w:bCs/>
                <w:sz w:val="32"/>
                <w:szCs w:val="32"/>
              </w:rPr>
            </w:r>
          </w:p>
        </w:tc>
        <w:tc>
          <w:tcPr>
            <w:tcW w:w="3857" w:type="dxa"/>
            <w:vMerge w:val="continue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r>
          </w:p>
        </w:tc>
        <w:tc>
          <w:tcPr>
            <w:tcW w:w="968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ท</w:t>
            </w:r>
          </w:p>
        </w:tc>
        <w:tc>
          <w:tcPr>
            <w:tcW w:w="919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ป</w:t>
            </w:r>
          </w:p>
        </w:tc>
      </w:tr>
      <w:tr>
        <w:trPr>
          <w:trHeight w:val="263" w:hRule="atLeast"/>
          <w:cantSplit w:val="false"/>
        </w:trPr>
        <w:tc>
          <w:tcPr>
            <w:tcW w:w="35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ปฎิบัติงานได้อย่างปลอดภัยตามคู่มือมาตรฐานการปฏิบัติงานของบริษัท</w:t>
            </w:r>
          </w:p>
        </w:tc>
        <w:tc>
          <w:tcPr>
            <w:tcW w:w="38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หัวข้อที่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1: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ความปลอดภัยในการปฏิบัติงาน</w:t>
            </w:r>
          </w:p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หัวข้อที่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2: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อุปกรณ์ป้องกันส่วนบุคคล</w:t>
            </w:r>
          </w:p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หัวข้อที่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3: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อันตรายจากไฟฟ้าขณะซ่อม</w:t>
            </w:r>
          </w:p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เครื่องจักร</w:t>
            </w:r>
          </w:p>
        </w:tc>
        <w:tc>
          <w:tcPr>
            <w:tcW w:w="968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</w:r>
          </w:p>
        </w:tc>
        <w:tc>
          <w:tcPr>
            <w:tcW w:w="919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  <w:vAlign w:val="center"/>
          </w:tcPr>
          <w:p>
            <w:pPr>
              <w:pStyle w:val="Normal"/>
              <w:spacing w:before="0" w:after="0"/>
              <w:jc w:val="center"/>
              <w:rPr>
                <w:rFonts w:cs="" w:ascii="Cambria" w:hAnsi="Cambria"/>
                <w:b/>
                <w:bCs/>
                <w:sz w:val="32"/>
                <w:szCs w:val="32"/>
              </w:rPr>
            </w:pPr>
            <w:r>
              <w:rPr>
                <w:rFonts w:cs="" w:ascii="Cambria" w:hAnsi="Cambria"/>
                <w:b/>
                <w:bCs/>
                <w:sz w:val="32"/>
                <w:szCs w:val="32"/>
              </w:rPr>
            </w:r>
          </w:p>
        </w:tc>
      </w:tr>
      <w:tr>
        <w:trPr>
          <w:cantSplit w:val="false"/>
        </w:trPr>
        <w:tc>
          <w:tcPr>
            <w:tcW w:w="7447" w:type="dxa"/>
            <w:gridSpan w:val="3"/>
            <w:tcBorders>
              <w:top w:val="double" w:sz="6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รวมทั้งสิ้น</w:t>
            </w:r>
          </w:p>
        </w:tc>
        <w:tc>
          <w:tcPr>
            <w:tcW w:w="968" w:type="dxa"/>
            <w:gridSpan w:val="2"/>
            <w:tcBorders>
              <w:top w:val="double" w:sz="6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0.5</w:t>
            </w:r>
          </w:p>
        </w:tc>
        <w:tc>
          <w:tcPr>
            <w:tcW w:w="917" w:type="dxa"/>
            <w:tcBorders>
              <w:top w:val="double" w:sz="6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รายละเอียดหัวข้อการฝึก</w:t>
      </w:r>
      <w:r>
        <w:rPr>
          <w:rFonts w:cs="TH SarabunPSK" w:ascii="TH SarabunPSK" w:hAnsi="TH SarabunPSK"/>
          <w:b/>
          <w:bCs/>
          <w:sz w:val="32"/>
          <w:szCs w:val="32"/>
        </w:rPr>
        <w:t>(Contents Outline)</w:t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16"/>
          <w:szCs w:val="16"/>
        </w:rPr>
      </w:pPr>
      <w:r>
        <w:rPr>
          <w:rFonts w:cs="TH SarabunPSK" w:ascii="TH SarabunPSK" w:hAnsi="TH SarabunPSK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หัวข้อที่ </w:t>
      </w:r>
      <w:r>
        <w:rPr>
          <w:rFonts w:cs="TH SarabunPSK" w:ascii="TH SarabunPSK" w:hAnsi="TH SarabunPSK"/>
          <w:b/>
          <w:bCs/>
          <w:sz w:val="32"/>
          <w:szCs w:val="32"/>
        </w:rPr>
        <w:t>1</w:t>
      </w:r>
      <w:r>
        <w:rPr>
          <w:rFonts w:cs="TH SarabunPSK" w:ascii="TH SarabunPSK" w:hAnsi="TH SarabunPSK"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ความปลอดภัยในการปฏิบัติงาน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เกณฑ์การประเมิน</w:t>
      </w:r>
      <w:r>
        <w:rPr>
          <w:rFonts w:ascii="TH SarabunPSK" w:hAnsi="TH SarabunPSK" w:cs="TH SarabunPSK"/>
          <w:sz w:val="32"/>
          <w:sz w:val="32"/>
          <w:szCs w:val="32"/>
        </w:rPr>
        <w:t xml:space="preserve"> </w:t>
      </w:r>
      <w:r>
        <w:rPr>
          <w:rFonts w:cs="TH SarabunPSK" w:ascii="TH SarabunPSK" w:hAnsi="TH SarabunPSK"/>
          <w:sz w:val="32"/>
          <w:szCs w:val="32"/>
        </w:rPr>
        <w:t>(Assessment Criteria / Performance Standard)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 w:val="32"/>
          <w:szCs w:val="32"/>
        </w:rPr>
        <w:t>เมื่อผ่านการฝึกในหัวข้อวิชานี้แล้วผู้เข้ารับการฝึก สามารถปฏิบัติงานได้ตามเกณฑ์ ดังนี้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อธิบายข้อควรระวังในการปฏิบัติงานได้ทุกข้อ </w:t>
      </w:r>
      <w:r>
        <w:rPr>
          <w:rFonts w:cs="TH SarabunPSK" w:ascii="TH SarabunPSK" w:hAnsi="TH SarabunPSK"/>
          <w:sz w:val="32"/>
          <w:szCs w:val="32"/>
        </w:rPr>
        <w:t>(100%)</w:t>
      </w:r>
    </w:p>
    <w:p>
      <w:pPr>
        <w:pStyle w:val="Normal"/>
        <w:spacing w:lineRule="auto" w:line="240" w:before="0" w:after="0"/>
        <w:ind w:left="360" w:right="0" w:firstLine="36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>ปฎิบัติงานได้อย่างปลอดภัยตามคู่มือมาตรฐานการปฏิบัติงานของบริษัท</w:t>
      </w:r>
    </w:p>
    <w:p>
      <w:pPr>
        <w:pStyle w:val="Normal"/>
        <w:spacing w:lineRule="auto" w:line="240" w:before="0" w:after="0"/>
        <w:ind w:left="72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720" w:right="0" w:hanging="360"/>
        <w:contextualSpacing/>
        <w:rPr>
          <w:rFonts w:cs="TH SarabunPSK" w:ascii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รายละเอียดเนื้อหา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(Contents) 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color w:val="FF0000"/>
          <w:sz w:val="32"/>
          <w:sz w:val="32"/>
          <w:szCs w:val="32"/>
        </w:rPr>
        <w:t>หัวข้อความรู้ที่จำเป็น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)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หลักความปลอดภัยในการทำงาน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ข้อควระวังในการใช้เครื่องมือ อุปกรณ์และเครื่องจักร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อันตรายจากไฟฟ้าขณะซ่อมเครื่องจักร</w:t>
      </w:r>
    </w:p>
    <w:p>
      <w:pPr>
        <w:pStyle w:val="ListParagraph"/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ind w:left="720" w:right="0" w:hanging="36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เครื่องมือ เครื่องจักร วัสดุและอุปกรณ์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(Resources)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ที่ใช้ในการฝึกและประเมินในโมดูล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วัสดุ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อุปกรณ์ เครื่องมือ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เครื่องจักร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  <w:u w:val="single"/>
        </w:rPr>
      </w:pPr>
      <w:r>
        <w:rPr>
          <w:rFonts w:cs="TH SarabunPSK" w:ascii="TH SarabunPSK" w:hAnsi="TH SarabunPSK"/>
          <w:sz w:val="32"/>
          <w:szCs w:val="32"/>
          <w:u w:val="single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เงื่อนไขการฝึกอื่นๆ </w:t>
      </w:r>
      <w:r>
        <w:rPr>
          <w:rFonts w:cs="TH SarabunPSK" w:ascii="TH SarabunPSK" w:hAnsi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ถ้าจำเป็นต้องมี</w:t>
      </w:r>
      <w:r>
        <w:rPr>
          <w:rFonts w:cs="TH SarabunPSK" w:ascii="TH SarabunPSK" w:hAnsi="TH SarabunPSK"/>
          <w:b/>
          <w:bCs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สถานประกอบกิจการ หรือ ศูนย์ฝึกอบรมต้องจัดเตรียมสิ่งเหล่านี้ให้ผู้รับการฝึก เช่น หมวกนิรภัย ถุงมือยาง รองเท้านิรภัย แว่นตานิรภัย และคู่มือการฝึก หรือเอกสารการฝึก ใบปฏิบัติงาน เป็นต้น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คู่มือการฝึก เอกสารการฝึก คู่มือการปฏิบัติงาน และเอกสารอ้างอิง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คู่มือผู้รับการฝึก –ครูฝึก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คู่มือการประเมินของครูฝึก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คู่มือระเบียบการทำงาน 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คู่มือ </w:t>
      </w:r>
      <w:r>
        <w:rPr>
          <w:rFonts w:cs="TH SarabunPSK" w:ascii="TH SarabunPSK" w:hAnsi="TH SarabunPSK"/>
          <w:sz w:val="32"/>
          <w:szCs w:val="32"/>
        </w:rPr>
        <w:t xml:space="preserve">5 </w:t>
      </w:r>
      <w:r>
        <w:rPr>
          <w:rFonts w:ascii="TH SarabunPSK" w:hAnsi="TH SarabunPSK" w:cs="TH SarabunPSK"/>
          <w:sz w:val="32"/>
          <w:sz w:val="32"/>
          <w:szCs w:val="32"/>
        </w:rPr>
        <w:t>ส หรือ เอกสารความปลอดภัย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คู่มือการใช้อุปกรณ์ป้องกันส่วนบุคคล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คู่มือมาตรฐานการปฏิบัติงานของบริษัท</w:t>
      </w:r>
    </w:p>
    <w:p>
      <w:pPr>
        <w:pStyle w:val="Normal"/>
        <w:spacing w:lineRule="auto" w:line="240" w:before="0" w:after="0"/>
        <w:ind w:left="72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วิธีการประเมินผล </w:t>
      </w:r>
      <w:r>
        <w:rPr>
          <w:rFonts w:cs="TH SarabunPSK" w:ascii="TH SarabunPSK" w:hAnsi="TH SarabunPSK"/>
          <w:b/>
          <w:bCs/>
          <w:sz w:val="32"/>
          <w:szCs w:val="32"/>
        </w:rPr>
        <w:t>(Assessment Methods):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สอบข้อเขียน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อัตนัย </w:t>
      </w:r>
      <w:r>
        <w:rPr>
          <w:rFonts w:cs="TH SarabunPSK" w:ascii="TH SarabunPSK" w:hAnsi="TH SarabunPSK"/>
          <w:sz w:val="32"/>
          <w:szCs w:val="32"/>
        </w:rPr>
        <w:t>/</w:t>
      </w:r>
      <w:r>
        <w:rPr>
          <w:rFonts w:ascii="TH SarabunPSK" w:hAnsi="TH SarabunPSK" w:cs="TH SarabunPSK"/>
          <w:sz w:val="32"/>
          <w:sz w:val="32"/>
          <w:szCs w:val="32"/>
        </w:rPr>
        <w:t>ปรนัย</w:t>
      </w:r>
      <w:r>
        <w:rPr>
          <w:rFonts w:cs="TH SarabunPSK" w:ascii="TH SarabunPSK" w:hAnsi="TH SarabunPSK"/>
          <w:sz w:val="32"/>
          <w:szCs w:val="32"/>
        </w:rPr>
        <w:t>)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วิธีการฝึกอบรม </w:t>
      </w:r>
      <w:r>
        <w:rPr>
          <w:rFonts w:cs="TH SarabunPSK" w:ascii="TH SarabunPSK" w:hAnsi="TH SarabunPSK"/>
          <w:b/>
          <w:bCs/>
          <w:sz w:val="32"/>
          <w:szCs w:val="32"/>
        </w:rPr>
        <w:t>(Course Methodologies):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ฝึกแบบโมดูล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ครูให้คำแนะนำ หรือ บรรยาย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เรียนรู้หรือฝึกจากสื่อต่างๆ เช่น สื่อกระดาษ  สื่ออิเล็กทรอนิกส์ สื่อวีดิทัศน์ เป็นต้น</w:t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รายละเอียดโมดูลการฝึก</w:t>
      </w:r>
      <w:r>
        <w:rPr>
          <w:rFonts w:cs="TH SarabunPSK" w:ascii="TH SarabunPSK" w:hAnsi="TH SarabunPSK"/>
          <w:b/>
          <w:bCs/>
          <w:sz w:val="32"/>
          <w:szCs w:val="32"/>
        </w:rPr>
        <w:t>(Modules)</w:t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p>
      <w:pPr>
        <w:pStyle w:val="ListParagraph"/>
        <w:numPr>
          <w:ilvl w:val="0"/>
          <w:numId w:val="18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ชื่อโมดูลการฝึก การควบคุมการผลิตเครื่องโรยฝอยไม้</w:t>
      </w:r>
      <w:r>
        <w:rPr>
          <w:rFonts w:cs="TH SarabunPSK" w:ascii="TH SarabunPSK" w:hAnsi="TH SarabunPSK"/>
          <w:b/>
          <w:bCs/>
          <w:sz w:val="32"/>
          <w:szCs w:val="32"/>
        </w:rPr>
        <w:tab/>
        <w:tab/>
        <w:tab/>
        <w:tab/>
        <w:tab/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รหัสโมดูล </w:t>
      </w:r>
      <w:r>
        <w:rPr>
          <w:rFonts w:cs="TH SarabunPSK" w:ascii="TH SarabunPSK" w:hAnsi="TH SarabunPSK"/>
          <w:b/>
          <w:bCs/>
          <w:sz w:val="32"/>
          <w:szCs w:val="32"/>
        </w:rPr>
        <w:t>M2</w:t>
      </w:r>
    </w:p>
    <w:p>
      <w:pPr>
        <w:pStyle w:val="ListParagraph"/>
        <w:numPr>
          <w:ilvl w:val="0"/>
          <w:numId w:val="18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ระยะเวลาการฝึก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9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ชั่วโมง</w:t>
      </w:r>
    </w:p>
    <w:p>
      <w:pPr>
        <w:pStyle w:val="ListParagraph"/>
        <w:numPr>
          <w:ilvl w:val="0"/>
          <w:numId w:val="18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วัตถุประสงค์ของโมดูล </w:t>
      </w:r>
      <w:r>
        <w:rPr>
          <w:rFonts w:cs="TH SarabunPSK" w:ascii="TH SarabunPSK" w:hAnsi="TH SarabunPSK"/>
          <w:b/>
          <w:bCs/>
          <w:sz w:val="32"/>
          <w:szCs w:val="32"/>
        </w:rPr>
        <w:t>(Modules Objectives):</w:t>
      </w:r>
    </w:p>
    <w:p>
      <w:pPr>
        <w:pStyle w:val="Normal"/>
        <w:spacing w:lineRule="auto" w:line="240" w:before="0" w:after="0"/>
        <w:ind w:left="0" w:right="0" w:firstLine="360"/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color w:val="000000"/>
          <w:sz w:val="32"/>
          <w:sz w:val="32"/>
          <w:szCs w:val="32"/>
        </w:rPr>
        <w:t>โมดูลการฝึกนี้พัฒนาขึ้นให้ครอบคลุมความสามารถด้านความรู้ ทักษะและเจตคติแก่ผู้เข้ารับการฝึกในสาขาอาชีพช่างบำรุงรักษารถยนต์ เพื่อให้สามารถปฏิบัติงานได้ ดังนี้</w:t>
      </w:r>
    </w:p>
    <w:p>
      <w:pPr>
        <w:pStyle w:val="ListParagraph"/>
        <w:numPr>
          <w:ilvl w:val="1"/>
          <w:numId w:val="20"/>
        </w:numPr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ตรวจสอบเครื่องโรยฝอยไม้ได้ตามมาตรฐานของบริษัท</w:t>
      </w:r>
    </w:p>
    <w:p>
      <w:pPr>
        <w:pStyle w:val="ListParagraph"/>
        <w:numPr>
          <w:ilvl w:val="1"/>
          <w:numId w:val="20"/>
        </w:numPr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ปรับตั้งค่าเครื่องโรยฝอยไม้ได้ตามค่ามาตรฐานที่กำหนด</w:t>
      </w:r>
    </w:p>
    <w:p>
      <w:pPr>
        <w:pStyle w:val="ListParagraph"/>
        <w:numPr>
          <w:ilvl w:val="1"/>
          <w:numId w:val="20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จัดทำรายการผลิตได้ตามรูปแบบที่บริษัทกำหนด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18"/>
        </w:numPr>
        <w:spacing w:lineRule="auto" w:line="240" w:before="0" w:after="0"/>
        <w:ind w:left="720" w:right="0" w:hanging="36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พื้นฐานความรู้ความสามารถที่ต้องมีก่อนเข้าฝึกในโมดุลการฝึกนี้ </w:t>
      </w:r>
      <w:r>
        <w:rPr>
          <w:rFonts w:cs="TH SarabunPSK" w:ascii="TH SarabunPSK" w:hAnsi="TH SarabunPSK"/>
          <w:b/>
          <w:bCs/>
          <w:sz w:val="32"/>
          <w:szCs w:val="32"/>
        </w:rPr>
        <w:t>(Prerequisite)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ภาษาอังกฤษเบื้องต้น  การใช้คอมพิวเตอร์เบื้องต้น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18"/>
        </w:numPr>
        <w:spacing w:lineRule="auto" w:line="240" w:before="0" w:after="0"/>
        <w:ind w:left="720" w:right="0" w:hanging="36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ผลลัพธ์การเรียนรู้ที่ต้องการ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(Learning Outcomes) : </w:t>
      </w:r>
      <w:r>
        <w:rPr>
          <w:rFonts w:ascii="TH SarabunPSK" w:hAnsi="TH SarabunPSK" w:cs="TH SarabunPSK"/>
          <w:sz w:val="32"/>
          <w:sz w:val="32"/>
          <w:szCs w:val="32"/>
        </w:rPr>
        <w:t>เมื่อสำเร็จการฝึกในโมดูลการฝึกนี้ ผู้เข้ารับการฝึกสามารถปฏิบัติงานโดยมีสมรรถนะ และระยะเวลาการฝึก ดังนี้</w:t>
      </w:r>
    </w:p>
    <w:p>
      <w:pPr>
        <w:pStyle w:val="Normal"/>
        <w:spacing w:lineRule="auto" w:line="240" w:before="0" w:after="0"/>
        <w:ind w:left="3" w:right="0" w:hanging="0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tbl>
      <w:tblPr>
        <w:jc w:val="left"/>
        <w:tblInd w:w="-20" w:type="dxa"/>
        <w:tblBorders>
          <w:top w:val="single" w:sz="8" w:space="0" w:color="9BBB59"/>
          <w:left w:val="single" w:sz="8" w:space="0" w:color="9BBB59"/>
          <w:bottom w:val="single" w:sz="18" w:space="0" w:color="9BBB59"/>
          <w:insideH w:val="single" w:sz="18" w:space="0" w:color="9BBB59"/>
          <w:right w:val="single" w:sz="8" w:space="0" w:color="9BBB59"/>
          <w:insideV w:val="single" w:sz="8" w:space="0" w:color="9BBB59"/>
        </w:tblBorders>
        <w:tblCellMar>
          <w:top w:w="0" w:type="dxa"/>
          <w:left w:w="87" w:type="dxa"/>
          <w:bottom w:w="0" w:type="dxa"/>
          <w:right w:w="108" w:type="dxa"/>
        </w:tblCellMar>
      </w:tblPr>
      <w:tblGrid>
        <w:gridCol w:w="3588"/>
        <w:gridCol w:w="3857"/>
        <w:gridCol w:w="2"/>
        <w:gridCol w:w="966"/>
        <w:gridCol w:w="2"/>
        <w:gridCol w:w="917"/>
      </w:tblGrid>
      <w:tr>
        <w:trPr>
          <w:trHeight w:val="61" w:hRule="atLeast"/>
          <w:cantSplit w:val="false"/>
        </w:trPr>
        <w:tc>
          <w:tcPr>
            <w:tcW w:w="35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insideH w:val="single" w:sz="1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วัตถุประสงค์ของโมดูล</w:t>
            </w:r>
          </w:p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หรือ รายการความสามารถ</w:t>
            </w:r>
          </w:p>
        </w:tc>
        <w:tc>
          <w:tcPr>
            <w:tcW w:w="3857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insideH w:val="single" w:sz="1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 xml:space="preserve">หัวข้อวิชา </w:t>
            </w: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  <w:t>(Contents)</w:t>
            </w:r>
          </w:p>
        </w:tc>
        <w:tc>
          <w:tcPr>
            <w:tcW w:w="1887" w:type="dxa"/>
            <w:gridSpan w:val="4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insideH w:val="single" w:sz="1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ระยะเวลาการฝึก</w:t>
            </w:r>
          </w:p>
        </w:tc>
      </w:tr>
      <w:tr>
        <w:trPr>
          <w:trHeight w:val="36" w:hRule="atLeast"/>
          <w:cantSplit w:val="false"/>
        </w:trPr>
        <w:tc>
          <w:tcPr>
            <w:tcW w:w="3588" w:type="dxa"/>
            <w:vMerge w:val="continue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" w:ascii="Cambria" w:hAnsi="Cambria"/>
                <w:b/>
                <w:bCs/>
                <w:sz w:val="32"/>
                <w:szCs w:val="32"/>
              </w:rPr>
            </w:pPr>
            <w:r>
              <w:rPr>
                <w:rFonts w:cs="" w:ascii="Cambria" w:hAnsi="Cambria"/>
                <w:b/>
                <w:bCs/>
                <w:sz w:val="32"/>
                <w:szCs w:val="32"/>
              </w:rPr>
            </w:r>
          </w:p>
        </w:tc>
        <w:tc>
          <w:tcPr>
            <w:tcW w:w="3857" w:type="dxa"/>
            <w:vMerge w:val="continue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cs="TH SarabunPSK" w:ascii="TH SarabunPSK" w:hAnsi="TH SarabunPSK"/>
                <w:b/>
                <w:bCs/>
                <w:sz w:val="32"/>
                <w:szCs w:val="32"/>
              </w:rPr>
            </w:r>
          </w:p>
        </w:tc>
        <w:tc>
          <w:tcPr>
            <w:tcW w:w="968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ท</w:t>
            </w:r>
          </w:p>
        </w:tc>
        <w:tc>
          <w:tcPr>
            <w:tcW w:w="919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/>
                <w:bCs/>
                <w:sz w:val="32"/>
                <w:sz w:val="32"/>
                <w:szCs w:val="32"/>
              </w:rPr>
              <w:t>ป</w:t>
            </w:r>
          </w:p>
        </w:tc>
      </w:tr>
      <w:tr>
        <w:trPr>
          <w:trHeight w:val="2170" w:hRule="atLeast"/>
          <w:cantSplit w:val="false"/>
        </w:trPr>
        <w:tc>
          <w:tcPr>
            <w:tcW w:w="358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ตรวจสอบเครื่องโรยฝอยไม้ได้ตามมาตรฐานของบริษัท</w:t>
            </w:r>
          </w:p>
          <w:p>
            <w:pPr>
              <w:pStyle w:val="ListParagraph"/>
              <w:numPr>
                <w:ilvl w:val="0"/>
                <w:numId w:val="14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ปรับตั้งค่าเครื่องโรยฝอยไม้ได้ตามค่ามาตรฐานที่กำหนด</w:t>
            </w:r>
          </w:p>
          <w:p>
            <w:pPr>
              <w:pStyle w:val="ListParagraph"/>
              <w:numPr>
                <w:ilvl w:val="0"/>
                <w:numId w:val="14"/>
              </w:numPr>
              <w:spacing w:before="0" w:after="0"/>
              <w:contextualSpacing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จัดทำรายการผลิตได้ตามรูปแบบที่บริษัทกำหนด</w:t>
            </w:r>
          </w:p>
        </w:tc>
        <w:tc>
          <w:tcPr>
            <w:tcW w:w="38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หัวข้อที่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1: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การตรวจสอบเครื่องโรยฝอยไม้</w:t>
            </w:r>
          </w:p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หัวข้อที่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2: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การปรับตั้งค่าเครื่องโรยฝอยไม้</w:t>
            </w:r>
          </w:p>
          <w:p>
            <w:pPr>
              <w:pStyle w:val="Normal"/>
              <w:spacing w:before="0" w:after="0"/>
              <w:rPr>
                <w:rFonts w:ascii="TH SarabunPSK" w:hAnsi="TH SarabunPSK" w:cs="TH SarabunPSK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หัวข้อที่</w:t>
            </w:r>
            <w:r>
              <w:rPr>
                <w:rFonts w:cs="TH SarabunPSK" w:ascii="TH SarabunPSK" w:hAnsi="TH SarabunPSK"/>
                <w:sz w:val="32"/>
                <w:szCs w:val="32"/>
              </w:rPr>
              <w:t xml:space="preserve">3: </w:t>
            </w:r>
            <w:r>
              <w:rPr>
                <w:rFonts w:ascii="TH SarabunPSK" w:hAnsi="TH SarabunPSK" w:cs="TH SarabunPSK"/>
                <w:sz w:val="32"/>
                <w:sz w:val="32"/>
                <w:szCs w:val="32"/>
              </w:rPr>
              <w:t>การจัดทำรายการผลิต</w:t>
            </w:r>
          </w:p>
        </w:tc>
        <w:tc>
          <w:tcPr>
            <w:tcW w:w="968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0.5</w:t>
            </w:r>
          </w:p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1</w:t>
            </w:r>
          </w:p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sz w:val="32"/>
                <w:szCs w:val="32"/>
              </w:rPr>
            </w:pPr>
            <w:r>
              <w:rPr>
                <w:rFonts w:cs="TH SarabunPSK" w:ascii="TH SarabunPSK" w:hAnsi="TH SarabunPSK"/>
                <w:sz w:val="32"/>
                <w:szCs w:val="32"/>
              </w:rPr>
              <w:t>0.5</w:t>
            </w:r>
          </w:p>
        </w:tc>
        <w:tc>
          <w:tcPr>
            <w:tcW w:w="919" w:type="dxa"/>
            <w:gridSpan w:val="2"/>
            <w:tcBorders>
              <w:top w:val="single" w:sz="8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1</w:t>
            </w:r>
          </w:p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5</w:t>
            </w:r>
          </w:p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1</w:t>
            </w:r>
          </w:p>
        </w:tc>
      </w:tr>
      <w:tr>
        <w:trPr>
          <w:cantSplit w:val="false"/>
        </w:trPr>
        <w:tc>
          <w:tcPr>
            <w:tcW w:w="7447" w:type="dxa"/>
            <w:gridSpan w:val="3"/>
            <w:tcBorders>
              <w:top w:val="double" w:sz="6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</w:pPr>
            <w:r>
              <w:rPr>
                <w:rFonts w:ascii="TH SarabunPSK" w:hAnsi="TH SarabunPSK" w:cs="TH SarabunPSK"/>
                <w:b w:val="false"/>
                <w:b w:val="false"/>
                <w:bCs w:val="false"/>
                <w:sz w:val="32"/>
                <w:sz w:val="32"/>
                <w:szCs w:val="32"/>
              </w:rPr>
              <w:t>รวมทั้งสิ้น</w:t>
            </w:r>
          </w:p>
        </w:tc>
        <w:tc>
          <w:tcPr>
            <w:tcW w:w="968" w:type="dxa"/>
            <w:gridSpan w:val="2"/>
            <w:tcBorders>
              <w:top w:val="double" w:sz="6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E6EED5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2</w:t>
            </w:r>
          </w:p>
        </w:tc>
        <w:tc>
          <w:tcPr>
            <w:tcW w:w="917" w:type="dxa"/>
            <w:tcBorders>
              <w:top w:val="double" w:sz="6" w:space="0" w:color="9BBB59"/>
              <w:left w:val="single" w:sz="8" w:space="0" w:color="9BBB59"/>
              <w:bottom w:val="single" w:sz="8" w:space="0" w:color="9BBB59"/>
              <w:insideH w:val="single" w:sz="8" w:space="0" w:color="9BBB59"/>
              <w:right w:val="single" w:sz="8" w:space="0" w:color="9BBB59"/>
              <w:insideV w:val="single" w:sz="8" w:space="0" w:color="9BBB59"/>
            </w:tcBorders>
            <w:shd w:fill="FFFFFF" w:val="clear"/>
            <w:tcMar>
              <w:left w:w="87" w:type="dxa"/>
            </w:tcMar>
          </w:tcPr>
          <w:p>
            <w:pPr>
              <w:pStyle w:val="Normal"/>
              <w:spacing w:before="0" w:after="0"/>
              <w:jc w:val="center"/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</w:pPr>
            <w:r>
              <w:rPr>
                <w:rFonts w:cs="TH SarabunPSK" w:ascii="TH SarabunPSK" w:hAnsi="TH SarabunPSK"/>
                <w:b w:val="false"/>
                <w:bCs w:val="false"/>
                <w:sz w:val="32"/>
                <w:szCs w:val="32"/>
              </w:rPr>
              <w:t>7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รายละเอียดหัวข้อการฝึก</w:t>
      </w:r>
      <w:r>
        <w:rPr>
          <w:rFonts w:cs="TH SarabunPSK" w:ascii="TH SarabunPSK" w:hAnsi="TH SarabunPSK"/>
          <w:b/>
          <w:bCs/>
          <w:sz w:val="32"/>
          <w:szCs w:val="32"/>
        </w:rPr>
        <w:t>(Contents Outline)</w:t>
      </w:r>
    </w:p>
    <w:p>
      <w:pPr>
        <w:pStyle w:val="Normal"/>
        <w:spacing w:lineRule="auto" w:line="240" w:before="0" w:after="0"/>
        <w:jc w:val="center"/>
        <w:rPr>
          <w:rFonts w:cs="TH SarabunPSK" w:ascii="TH SarabunPSK" w:hAnsi="TH SarabunPSK"/>
          <w:sz w:val="18"/>
          <w:szCs w:val="18"/>
        </w:rPr>
      </w:pPr>
      <w:r>
        <w:rPr>
          <w:rFonts w:cs="TH SarabunPSK" w:ascii="TH SarabunPSK" w:hAnsi="TH SarabunPSK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หัวข้อที่ </w:t>
      </w:r>
      <w:r>
        <w:rPr>
          <w:rFonts w:cs="TH SarabunPSK" w:ascii="TH SarabunPSK" w:hAnsi="TH SarabunPSK"/>
          <w:b/>
          <w:bCs/>
          <w:sz w:val="32"/>
          <w:szCs w:val="32"/>
        </w:rPr>
        <w:t>1</w:t>
      </w:r>
      <w:r>
        <w:rPr>
          <w:rFonts w:cs="TH SarabunPSK" w:ascii="TH SarabunPSK" w:hAnsi="TH SarabunPSK"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การตรวจสอบเครื่องโรยฝอยไม้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เกณฑ์การประเมิน</w:t>
      </w:r>
      <w:r>
        <w:rPr>
          <w:rFonts w:ascii="TH SarabunPSK" w:hAnsi="TH SarabunPSK" w:cs="TH SarabunPSK"/>
          <w:sz w:val="32"/>
          <w:sz w:val="32"/>
          <w:szCs w:val="32"/>
        </w:rPr>
        <w:t xml:space="preserve"> </w:t>
      </w:r>
      <w:r>
        <w:rPr>
          <w:rFonts w:cs="TH SarabunPSK" w:ascii="TH SarabunPSK" w:hAnsi="TH SarabunPSK"/>
          <w:sz w:val="32"/>
          <w:szCs w:val="32"/>
        </w:rPr>
        <w:t>(Assessment Criteria / Performance Standard)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 w:val="32"/>
          <w:szCs w:val="32"/>
        </w:rPr>
        <w:t>เมื่อผ่านการฝึกในหัวข้อวิชานี้แล้วผู้เข้ารับการฝึก สามารถปฏิบัติงานได้ตามเกณฑ์ ดังนี้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ตรวจสอบเครื่องโรยฝอยไม้ได้ตามมาตฐานของบริษัท </w:t>
      </w:r>
      <w:r>
        <w:rPr>
          <w:rFonts w:cs="TH SarabunPSK" w:ascii="TH SarabunPSK" w:hAnsi="TH SarabunPSK"/>
          <w:sz w:val="32"/>
          <w:szCs w:val="32"/>
        </w:rPr>
        <w:t>(100 % )</w:t>
      </w:r>
    </w:p>
    <w:p>
      <w:pPr>
        <w:pStyle w:val="Normal"/>
        <w:spacing w:lineRule="auto" w:line="240" w:before="0" w:after="0"/>
        <w:ind w:left="72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รายละเอียดเนื้อหา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(Contents) 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color w:val="FF0000"/>
          <w:sz w:val="32"/>
          <w:sz w:val="32"/>
          <w:szCs w:val="32"/>
        </w:rPr>
        <w:t>หัวข้อความรู้ และทักษะ ที่จำเป็น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 xml:space="preserve">ภาคความรู้ </w:t>
      </w:r>
    </w:p>
    <w:p>
      <w:pPr>
        <w:pStyle w:val="Normal"/>
        <w:spacing w:lineRule="auto" w:line="240" w:before="0" w:after="0"/>
        <w:ind w:left="363" w:right="0" w:firstLine="357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การใช้อุปกรณ์ป้องกันส่วนบุคคล วิธีการอ่านรายงาน  </w:t>
      </w:r>
      <w:r>
        <w:rPr>
          <w:rFonts w:cs="TH SarabunPSK" w:ascii="TH SarabunPSK" w:hAnsi="TH SarabunPSK"/>
          <w:sz w:val="32"/>
          <w:szCs w:val="32"/>
        </w:rPr>
        <w:t>"</w:t>
      </w:r>
      <w:r>
        <w:rPr>
          <w:rFonts w:ascii="TH SarabunPSK" w:hAnsi="TH SarabunPSK" w:cs="TH SarabunPSK"/>
          <w:sz w:val="32"/>
          <w:sz w:val="32"/>
          <w:szCs w:val="32"/>
        </w:rPr>
        <w:t>รายงานการผลิตจดบันทึก</w:t>
      </w:r>
      <w:r>
        <w:rPr>
          <w:rFonts w:cs="TH SarabunPSK" w:ascii="TH SarabunPSK" w:hAnsi="TH SarabunPSK"/>
          <w:sz w:val="32"/>
          <w:szCs w:val="32"/>
        </w:rPr>
        <w:t xml:space="preserve">"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และ </w:t>
      </w:r>
      <w:r>
        <w:rPr>
          <w:rFonts w:cs="TH SarabunPSK" w:ascii="TH SarabunPSK" w:hAnsi="TH SarabunPSK"/>
          <w:sz w:val="32"/>
          <w:szCs w:val="32"/>
        </w:rPr>
        <w:t>"</w:t>
      </w:r>
      <w:r>
        <w:rPr>
          <w:rFonts w:ascii="TH SarabunPSK" w:hAnsi="TH SarabunPSK" w:cs="TH SarabunPSK"/>
          <w:sz w:val="32"/>
          <w:sz w:val="32"/>
          <w:szCs w:val="32"/>
        </w:rPr>
        <w:t>สมุดรายงานการตรวจเช็คเครื่องจักร อุปกรณ์และส่วนประกอบของเครื่องโรยฝอยไม้ วิธีการใช้งานเครื่องโรยฝอยไม้</w:t>
      </w:r>
    </w:p>
    <w:p>
      <w:pPr>
        <w:pStyle w:val="Normal"/>
        <w:spacing w:lineRule="auto" w:line="240" w:before="0" w:after="0"/>
        <w:ind w:left="363" w:right="0" w:hanging="0"/>
        <w:rPr>
          <w:rFonts w:cs="TH SarabunPSK" w:ascii="TH SarabunPSK" w:hAnsi="TH SarabunPSK"/>
          <w:sz w:val="32"/>
          <w:szCs w:val="32"/>
          <w:u w:val="single"/>
        </w:rPr>
      </w:pPr>
      <w:r>
        <w:rPr>
          <w:rFonts w:cs="TH SarabunPSK" w:ascii="TH SarabunPSK" w:hAnsi="TH SarabunPSK"/>
          <w:sz w:val="32"/>
          <w:szCs w:val="32"/>
          <w:u w:val="single"/>
        </w:rPr>
      </w:r>
    </w:p>
    <w:p>
      <w:pPr>
        <w:pStyle w:val="Normal"/>
        <w:spacing w:lineRule="auto" w:line="240" w:before="0" w:after="0"/>
        <w:ind w:left="363" w:right="0" w:hanging="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 xml:space="preserve">ภาคปฏิบัติ </w:t>
      </w:r>
    </w:p>
    <w:p>
      <w:pPr>
        <w:pStyle w:val="ListParagraph"/>
        <w:numPr>
          <w:ilvl w:val="1"/>
          <w:numId w:val="2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ตรวจสอบเครื่องโรยฝอยไม้ได้ตามมาตรฐานของบริษัท</w:t>
      </w:r>
    </w:p>
    <w:p>
      <w:pPr>
        <w:pStyle w:val="Normal"/>
        <w:spacing w:lineRule="auto" w:line="240" w:before="0" w:after="0"/>
        <w:ind w:left="72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   </w:t>
      </w:r>
      <w:r>
        <w:rPr>
          <w:rFonts w:ascii="TH SarabunPSK" w:hAnsi="TH SarabunPSK" w:cs="TH SarabunPSK"/>
          <w:sz w:val="32"/>
          <w:sz w:val="32"/>
          <w:szCs w:val="32"/>
        </w:rPr>
        <w:t>ปรับตั้งค่าเครื่องโรยฝอยไม้</w:t>
      </w:r>
    </w:p>
    <w:p>
      <w:pPr>
        <w:pStyle w:val="Normal"/>
        <w:spacing w:lineRule="auto" w:line="240" w:before="0" w:after="0"/>
        <w:ind w:left="72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   </w:t>
      </w:r>
      <w:r>
        <w:rPr>
          <w:rFonts w:ascii="TH SarabunPSK" w:hAnsi="TH SarabunPSK" w:cs="TH SarabunPSK"/>
          <w:sz w:val="32"/>
          <w:sz w:val="32"/>
          <w:szCs w:val="32"/>
        </w:rPr>
        <w:t>จัดทำรายการผลิต</w:t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เครื่องมือ เครื่องจักร วัสดุและอุปกรณ์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(Resources)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ที่ใช้ในการฝึกและประเมินในโมดูล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วัสดุ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ผ้าเช็ดมือ 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อุปกรณ์ เครื่องมือ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แบบฟอร์มการตรวจเช็ค 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รายการตรวจเช็ค 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>นาฬิกา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เครื่องจักร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>เครื่องโรยฝอยไม้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  <w:u w:val="single"/>
        </w:rPr>
      </w:pPr>
      <w:r>
        <w:rPr>
          <w:rFonts w:cs="TH SarabunPSK" w:ascii="TH SarabunPSK" w:hAnsi="TH SarabunPSK"/>
          <w:sz w:val="32"/>
          <w:szCs w:val="32"/>
          <w:u w:val="single"/>
        </w:rPr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เงื่อนไขการฝึกอื่นๆ </w:t>
      </w:r>
      <w:r>
        <w:rPr>
          <w:rFonts w:cs="TH SarabunPSK" w:ascii="TH SarabunPSK" w:hAnsi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ถ้าจำเป็นต้องมี</w:t>
      </w:r>
      <w:r>
        <w:rPr>
          <w:rFonts w:cs="TH SarabunPSK" w:ascii="TH SarabunPSK" w:hAnsi="TH SarabunPSK"/>
          <w:b/>
          <w:bCs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สถานประกอบกิจการ หรือ ศูนย์ฝึกอบรมต้องจัดเตรียมสิ่งเหล่านี้ให้ผู้รับการฝึก เช่น เครื่องฉายวีดีโอโปรเจ็กเตอร์ คอมพิวเตอร์กระเป๋าหิ้ว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cs="TH SarabunPSK" w:ascii="TH SarabunPSK" w:hAnsi="TH SarabunPSK"/>
          <w:b/>
          <w:bCs/>
          <w:sz w:val="32"/>
          <w:szCs w:val="32"/>
        </w:rPr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18"/>
          <w:szCs w:val="18"/>
        </w:rPr>
      </w:pPr>
      <w:r>
        <w:rPr>
          <w:rFonts w:cs="TH SarabunPSK" w:ascii="TH SarabunPSK" w:hAnsi="TH SarabunPSK"/>
          <w:sz w:val="18"/>
          <w:szCs w:val="18"/>
        </w:rPr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คู่มือการฝึก เอกสารการฝึก คู่มือการปฏิบัติงาน และเอกสารอ้างอิง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คู่มือผู้รับการฝึก และคู่มือครูฝึก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คู่มือการประเมินของครูฝึก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คู่มือมาตรฐานการปฏิบัติงานของบริษัท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bookmarkStart w:id="0" w:name="_GoBack"/>
      <w:bookmarkEnd w:id="0"/>
      <w:r>
        <w:rPr>
          <w:rFonts w:ascii="TH SarabunPSK" w:hAnsi="TH SarabunPSK" w:cs="TH SarabunPSK"/>
          <w:sz w:val="32"/>
          <w:sz w:val="32"/>
          <w:szCs w:val="32"/>
        </w:rPr>
        <w:t>ค่ามาตรฐานการตรวจสอบเครื่องจักร</w:t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วิธีการประเมินผล </w:t>
      </w:r>
      <w:r>
        <w:rPr>
          <w:rFonts w:cs="TH SarabunPSK" w:ascii="TH SarabunPSK" w:hAnsi="TH SarabunPSK"/>
          <w:b/>
          <w:bCs/>
          <w:sz w:val="32"/>
          <w:szCs w:val="32"/>
        </w:rPr>
        <w:t>(Assessment Methods):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สอบข้อเขียน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อัตนัย </w:t>
      </w:r>
      <w:r>
        <w:rPr>
          <w:rFonts w:cs="TH SarabunPSK" w:ascii="TH SarabunPSK" w:hAnsi="TH SarabunPSK"/>
          <w:sz w:val="32"/>
          <w:szCs w:val="32"/>
        </w:rPr>
        <w:t>/</w:t>
      </w:r>
      <w:r>
        <w:rPr>
          <w:rFonts w:ascii="TH SarabunPSK" w:hAnsi="TH SarabunPSK" w:cs="TH SarabunPSK"/>
          <w:sz w:val="32"/>
          <w:sz w:val="32"/>
          <w:szCs w:val="32"/>
        </w:rPr>
        <w:t>ปรนัย</w:t>
      </w:r>
      <w:r>
        <w:rPr>
          <w:rFonts w:cs="TH SarabunPSK" w:ascii="TH SarabunPSK" w:hAnsi="TH SarabunPSK"/>
          <w:sz w:val="32"/>
          <w:szCs w:val="32"/>
        </w:rPr>
        <w:t>)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สอบปฏิบัติ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ListParagraph"/>
        <w:numPr>
          <w:ilvl w:val="0"/>
          <w:numId w:val="19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วิธีการฝึกอบรม </w:t>
      </w:r>
      <w:r>
        <w:rPr>
          <w:rFonts w:cs="TH SarabunPSK" w:ascii="TH SarabunPSK" w:hAnsi="TH SarabunPSK"/>
          <w:b/>
          <w:bCs/>
          <w:sz w:val="32"/>
          <w:szCs w:val="32"/>
        </w:rPr>
        <w:t>(Course Methodologies):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ฝึกแบบโมดูล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ครูให้คำแนะนำ หรือ บรรยาย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เรียนรู้หรือฝึกจากสื่อต่างๆ เช่น สื่อกระดาษ  สื่ออิเล็กทรอนิกส์ สื่อวีดิทัศน์ เป็นต้น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หัวข้อที่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2: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การปรับตั้งค่าเครื่องโรยฝอยไม้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เกณฑ์การประเมิน</w:t>
      </w:r>
      <w:r>
        <w:rPr>
          <w:rFonts w:ascii="TH SarabunPSK" w:hAnsi="TH SarabunPSK" w:cs="TH SarabunPSK"/>
          <w:sz w:val="32"/>
          <w:sz w:val="32"/>
          <w:szCs w:val="32"/>
        </w:rPr>
        <w:t xml:space="preserve"> </w:t>
      </w:r>
      <w:r>
        <w:rPr>
          <w:rFonts w:cs="TH SarabunPSK" w:ascii="TH SarabunPSK" w:hAnsi="TH SarabunPSK"/>
          <w:sz w:val="32"/>
          <w:szCs w:val="32"/>
        </w:rPr>
        <w:t>(Assessment Criteria / Performance Standard)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 w:val="32"/>
          <w:szCs w:val="32"/>
        </w:rPr>
        <w:t>เมื่อผ่านการฝึกในหัวข้อวิชานี้แล้วผู้เข้ารับการฝึก สามารถปฏิบัติงานได้ตามเกณฑ์ ดังนี้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ปรับตั้งค่าเครื่องโรยฝอยไม้ได้ตามค่ามาตรฐานที่กำหนด </w:t>
      </w:r>
      <w:r>
        <w:rPr>
          <w:rFonts w:cs="TH SarabunPSK" w:ascii="TH SarabunPSK" w:hAnsi="TH SarabunPSK"/>
          <w:sz w:val="32"/>
          <w:szCs w:val="32"/>
        </w:rPr>
        <w:t>(100%)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อธิบายขั้นตอนการปรับตั้งค่าเครื่องโรยฝอยได้ทุกขั้นตอน </w:t>
      </w:r>
      <w:r>
        <w:rPr>
          <w:rFonts w:cs="TH SarabunPSK" w:ascii="TH SarabunPSK" w:hAnsi="TH SarabunPSK"/>
          <w:sz w:val="32"/>
          <w:szCs w:val="32"/>
        </w:rPr>
        <w:t>(100%)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>-………………………………………………………………………………………………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18"/>
          <w:szCs w:val="18"/>
        </w:rPr>
      </w:pPr>
      <w:r>
        <w:rPr>
          <w:rFonts w:cs="TH SarabunPSK" w:ascii="TH SarabunPSK" w:hAnsi="TH SarabunPSK"/>
          <w:sz w:val="18"/>
          <w:szCs w:val="18"/>
        </w:rPr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รายละเอียดเนื้อหา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(Contents) 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color w:val="FF0000"/>
          <w:sz w:val="32"/>
          <w:sz w:val="32"/>
          <w:szCs w:val="32"/>
        </w:rPr>
        <w:t>หัวข้อความรู้ และทักษะ ที่จำเป็น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 xml:space="preserve">ภาคความรู้ </w:t>
      </w:r>
    </w:p>
    <w:p>
      <w:pPr>
        <w:pStyle w:val="ListParagraph"/>
        <w:numPr>
          <w:ilvl w:val="1"/>
          <w:numId w:val="22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ListParagraph"/>
        <w:numPr>
          <w:ilvl w:val="1"/>
          <w:numId w:val="22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363" w:right="0" w:hanging="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 xml:space="preserve">ภาคปฏิบัติ </w:t>
      </w:r>
    </w:p>
    <w:p>
      <w:pPr>
        <w:pStyle w:val="ListParagraph"/>
        <w:numPr>
          <w:ilvl w:val="1"/>
          <w:numId w:val="2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ปรับตั้งค่าเครื่องโรยฝอยไม้ได้ตามค่ามาตรฐานที่กำหนด</w:t>
      </w:r>
    </w:p>
    <w:p>
      <w:pPr>
        <w:pStyle w:val="Normal"/>
        <w:spacing w:lineRule="auto" w:line="240" w:before="0" w:after="0"/>
        <w:ind w:left="72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เครื่องมือ เครื่องจักร วัสดุและอุปกรณ์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(Resources)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ที่ใช้ในการฝึกและประเมินในโมดูล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วัสดุ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อุปกรณ์ เครื่องมือ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เครื่องจักร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  <w:u w:val="single"/>
        </w:rPr>
      </w:pPr>
      <w:r>
        <w:rPr>
          <w:rFonts w:cs="TH SarabunPSK" w:ascii="TH SarabunPSK" w:hAnsi="TH SarabunPSK"/>
          <w:sz w:val="32"/>
          <w:szCs w:val="32"/>
          <w:u w:val="single"/>
        </w:rPr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เงื่อนไขการฝึกอื่นๆ </w:t>
      </w:r>
      <w:r>
        <w:rPr>
          <w:rFonts w:cs="TH SarabunPSK" w:ascii="TH SarabunPSK" w:hAnsi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ถ้าจำเป็นต้องมี</w:t>
      </w:r>
      <w:r>
        <w:rPr>
          <w:rFonts w:cs="TH SarabunPSK" w:ascii="TH SarabunPSK" w:hAnsi="TH SarabunPSK"/>
          <w:b/>
          <w:bCs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สถานประกอบกิจการ หรือ ศูนย์ฝึกอบรมต้องจัดเตรียมสิ่งเหล่านี้ให้ผู้รับการฝึก เช่น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คู่มือการฝึก เอกสารการฝึก คู่มือการปฏิบัติงาน และเอกสารอ้างอิง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คู่มือผู้รับการฝึก และคู่มือครูฝึก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คู่มือการประเมินของครูฝึก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คู่มือมาตรฐานการปฏิบัติงานของบริษัท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วิธีการประเมินผล </w:t>
      </w:r>
      <w:r>
        <w:rPr>
          <w:rFonts w:cs="TH SarabunPSK" w:ascii="TH SarabunPSK" w:hAnsi="TH SarabunPSK"/>
          <w:b/>
          <w:bCs/>
          <w:sz w:val="32"/>
          <w:szCs w:val="32"/>
        </w:rPr>
        <w:t>(Assessment Methods):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สอบข้อเขียน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อัตนัย </w:t>
      </w:r>
      <w:r>
        <w:rPr>
          <w:rFonts w:cs="TH SarabunPSK" w:ascii="TH SarabunPSK" w:hAnsi="TH SarabunPSK"/>
          <w:sz w:val="32"/>
          <w:szCs w:val="32"/>
        </w:rPr>
        <w:t>/</w:t>
      </w:r>
      <w:r>
        <w:rPr>
          <w:rFonts w:ascii="TH SarabunPSK" w:hAnsi="TH SarabunPSK" w:cs="TH SarabunPSK"/>
          <w:sz w:val="32"/>
          <w:sz w:val="32"/>
          <w:szCs w:val="32"/>
        </w:rPr>
        <w:t>ปรนัย</w:t>
      </w:r>
      <w:r>
        <w:rPr>
          <w:rFonts w:cs="TH SarabunPSK" w:ascii="TH SarabunPSK" w:hAnsi="TH SarabunPSK"/>
          <w:sz w:val="32"/>
          <w:szCs w:val="32"/>
        </w:rPr>
        <w:t>)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สอบปฏิบัติ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ListParagraph"/>
        <w:numPr>
          <w:ilvl w:val="0"/>
          <w:numId w:val="23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วิธีการฝึกอบรม </w:t>
      </w:r>
      <w:r>
        <w:rPr>
          <w:rFonts w:cs="TH SarabunPSK" w:ascii="TH SarabunPSK" w:hAnsi="TH SarabunPSK"/>
          <w:b/>
          <w:bCs/>
          <w:sz w:val="32"/>
          <w:szCs w:val="32"/>
        </w:rPr>
        <w:t>(Course Methodologies):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ฝึกแบบโมดูล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ครูให้คำแนะนำ หรือ บรรยาย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เรียนรู้หรือฝึกจากสื่อต่างๆ เช่น สื่อกระดาษ  สื่ออิเล็กทรอนิกส์ สื่อวีดิทัศน์ เป็นต้น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18"/>
          <w:szCs w:val="18"/>
        </w:rPr>
      </w:pPr>
      <w:r>
        <w:rPr>
          <w:rFonts w:cs="TH SarabunPSK" w:ascii="TH SarabunPSK" w:hAnsi="TH SarabunPSK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หัวข้อที่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3 :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การจัดทำรายการผลิต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18"/>
          <w:szCs w:val="18"/>
        </w:rPr>
      </w:pPr>
      <w:r>
        <w:rPr>
          <w:rFonts w:cs="TH SarabunPSK" w:ascii="TH SarabunPSK" w:hAnsi="TH SarabunPSK"/>
          <w:sz w:val="18"/>
          <w:szCs w:val="18"/>
        </w:rPr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เกณฑ์การประเมิน</w:t>
      </w:r>
      <w:r>
        <w:rPr>
          <w:rFonts w:ascii="TH SarabunPSK" w:hAnsi="TH SarabunPSK" w:cs="TH SarabunPSK"/>
          <w:sz w:val="32"/>
          <w:sz w:val="32"/>
          <w:szCs w:val="32"/>
        </w:rPr>
        <w:t xml:space="preserve"> </w:t>
      </w:r>
      <w:r>
        <w:rPr>
          <w:rFonts w:cs="TH SarabunPSK" w:ascii="TH SarabunPSK" w:hAnsi="TH SarabunPSK"/>
          <w:sz w:val="32"/>
          <w:szCs w:val="32"/>
        </w:rPr>
        <w:t>(Assessment Criteria / Performance Standard)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 w:val="32"/>
          <w:szCs w:val="32"/>
        </w:rPr>
        <w:t>เมื่อผ่านการฝึกในหัวข้อวิชานี้แล้วผู้เข้ารับการฝึก สามารถปฏิบัติงานได้ตามเกณฑ์ ดังนี้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 xml:space="preserve">- 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จัดทำรายการผลิตได้ตามรูปแบบหรือตามเงื่อนไขที่บริษัทกำหนด </w:t>
      </w:r>
      <w:r>
        <w:rPr>
          <w:rFonts w:cs="TH SarabunPSK" w:ascii="TH SarabunPSK" w:hAnsi="TH SarabunPSK"/>
          <w:sz w:val="32"/>
          <w:szCs w:val="32"/>
        </w:rPr>
        <w:t>(100%)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  <w:t>-………………………………………………………………………………………………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360" w:right="0" w:firstLine="360"/>
        <w:rPr>
          <w:rFonts w:cs="TH SarabunPSK" w:ascii="TH SarabunPSK" w:hAnsi="TH SarabunPSK"/>
          <w:sz w:val="18"/>
          <w:szCs w:val="18"/>
        </w:rPr>
      </w:pPr>
      <w:r>
        <w:rPr>
          <w:rFonts w:cs="TH SarabunPSK" w:ascii="TH SarabunPSK" w:hAnsi="TH SarabunPSK"/>
          <w:sz w:val="18"/>
          <w:szCs w:val="18"/>
        </w:rPr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รายละเอียดเนื้อหา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(Contents) 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color w:val="FF0000"/>
          <w:sz w:val="32"/>
          <w:sz w:val="32"/>
          <w:szCs w:val="32"/>
        </w:rPr>
        <w:t>หัวข้อความรู้ และทักษะ ที่จำเป็น</w:t>
      </w:r>
      <w:r>
        <w:rPr>
          <w:rFonts w:cs="TH SarabunPSK" w:ascii="TH SarabunPSK" w:hAnsi="TH SarabunPSK"/>
          <w:b/>
          <w:bCs/>
          <w:color w:val="FF0000"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 xml:space="preserve">ภาคความรู้ </w:t>
      </w:r>
    </w:p>
    <w:p>
      <w:pPr>
        <w:pStyle w:val="ListParagraph"/>
        <w:numPr>
          <w:ilvl w:val="1"/>
          <w:numId w:val="22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ListParagraph"/>
        <w:numPr>
          <w:ilvl w:val="1"/>
          <w:numId w:val="22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363" w:right="0" w:hanging="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 xml:space="preserve">ภาคปฏิบัติ </w:t>
      </w:r>
    </w:p>
    <w:p>
      <w:pPr>
        <w:pStyle w:val="ListParagraph"/>
        <w:numPr>
          <w:ilvl w:val="1"/>
          <w:numId w:val="21"/>
        </w:numPr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จัดทำรายการผลิตได้ตามรูปแบบที่บริษัทกำหนด</w:t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เครื่องมือ เครื่องจักร วัสดุและอุปกรณ์ </w:t>
      </w:r>
      <w:r>
        <w:rPr>
          <w:rFonts w:cs="TH SarabunPSK" w:ascii="TH SarabunPSK" w:hAnsi="TH SarabunPSK"/>
          <w:b/>
          <w:bCs/>
          <w:sz w:val="32"/>
          <w:szCs w:val="32"/>
        </w:rPr>
        <w:t xml:space="preserve">(Resources) 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ที่ใช้ในการฝึกและประเมินในโมดูล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วัสดุ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อุปกรณ์ เครื่องมือ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ind w:left="0" w:right="0" w:firstLine="720"/>
        <w:rPr>
          <w:rFonts w:ascii="TH SarabunPSK" w:hAnsi="TH SarabunPSK" w:cs="TH SarabunPSK"/>
          <w:sz w:val="32"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 w:val="32"/>
          <w:szCs w:val="32"/>
          <w:u w:val="single"/>
        </w:rPr>
        <w:t>เครื่องจักร</w:t>
      </w:r>
    </w:p>
    <w:p>
      <w:pPr>
        <w:pStyle w:val="Normal"/>
        <w:spacing w:lineRule="auto" w:line="240" w:before="0" w:after="0"/>
        <w:ind w:left="0" w:right="0" w:firstLine="72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</w:t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เงื่อนไขการฝึกอื่นๆ </w:t>
      </w:r>
      <w:r>
        <w:rPr>
          <w:rFonts w:cs="TH SarabunPSK" w:ascii="TH SarabunPSK" w:hAnsi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ถ้าจำเป็นต้องมี</w:t>
      </w:r>
      <w:r>
        <w:rPr>
          <w:rFonts w:cs="TH SarabunPSK" w:ascii="TH SarabunPSK" w:hAnsi="TH SarabunPSK"/>
          <w:b/>
          <w:bCs/>
          <w:sz w:val="32"/>
          <w:szCs w:val="32"/>
        </w:rPr>
        <w:t>)</w:t>
      </w:r>
    </w:p>
    <w:p>
      <w:pPr>
        <w:pStyle w:val="Normal"/>
        <w:spacing w:lineRule="auto" w:line="240" w:before="0" w:after="0"/>
        <w:ind w:left="360" w:right="0" w:hanging="0"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สถานประกอบกิจการ หรือ ศูนย์ฝึกอบรมต้องจัดเตรียมสิ่งเหล่านี้ให้ผู้รับการฝึก เช่น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..</w:t>
      </w:r>
    </w:p>
    <w:p>
      <w:pPr>
        <w:pStyle w:val="Normal"/>
        <w:spacing w:lineRule="auto" w:line="240" w:before="0" w:after="0"/>
        <w:rPr>
          <w:rFonts w:cs="TH SarabunPSK" w:ascii="TH SarabunPSK" w:hAnsi="TH SarabunPSK"/>
          <w:sz w:val="32"/>
          <w:szCs w:val="32"/>
        </w:rPr>
      </w:pPr>
      <w:r>
        <w:rPr>
          <w:rFonts w:cs="TH SarabunPSK" w:ascii="TH SarabunPSK" w:hAnsi="TH SarabunPSK"/>
          <w:sz w:val="32"/>
          <w:szCs w:val="32"/>
        </w:rPr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ascii="TH SarabunPSK" w:hAnsi="TH SarabunPSK" w:cs="TH SarabunPSK"/>
          <w:b/>
          <w:b/>
          <w:bCs/>
          <w:sz w:val="32"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>คู่มือการฝึก เอกสารการฝึก คู่มือการปฏิบัติงาน และเอกสารอ้างอิง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คู่มือผู้รับการฝึก และคู่มือครูฝึก</w:t>
      </w:r>
    </w:p>
    <w:p>
      <w:pPr>
        <w:pStyle w:val="ListParagraph"/>
        <w:numPr>
          <w:ilvl w:val="0"/>
          <w:numId w:val="11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คู่มือการประเมินของครูฝึก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คู่มือมาตรฐานการปฏิบัติงานของบริษัท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</w:t>
      </w:r>
    </w:p>
    <w:p>
      <w:pPr>
        <w:pStyle w:val="ListParagraph"/>
        <w:numPr>
          <w:ilvl w:val="0"/>
          <w:numId w:val="9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>
        <w:rPr>
          <w:rFonts w:cs="TH SarabunPSK" w:ascii="TH SarabunPSK" w:hAnsi="TH SarabunPSK"/>
          <w:sz w:val="32"/>
          <w:szCs w:val="32"/>
        </w:rPr>
        <w:t>.</w:t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วิธีการประเมินผล </w:t>
      </w:r>
      <w:r>
        <w:rPr>
          <w:rFonts w:cs="TH SarabunPSK" w:ascii="TH SarabunPSK" w:hAnsi="TH SarabunPSK"/>
          <w:b/>
          <w:bCs/>
          <w:sz w:val="32"/>
          <w:szCs w:val="32"/>
        </w:rPr>
        <w:t>(Assessment Methods):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cs="TH SarabunPSK" w:ascii="TH SarabunPSK" w:hAnsi="TH SarabunPSK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 xml:space="preserve">สอบข้อเขียน </w:t>
      </w:r>
      <w:r>
        <w:rPr>
          <w:rFonts w:cs="TH SarabunPSK" w:ascii="TH SarabunPSK" w:hAnsi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 w:val="32"/>
          <w:szCs w:val="32"/>
        </w:rPr>
        <w:t xml:space="preserve">อัตนัย </w:t>
      </w:r>
      <w:r>
        <w:rPr>
          <w:rFonts w:cs="TH SarabunPSK" w:ascii="TH SarabunPSK" w:hAnsi="TH SarabunPSK"/>
          <w:sz w:val="32"/>
          <w:szCs w:val="32"/>
        </w:rPr>
        <w:t>/</w:t>
      </w:r>
      <w:r>
        <w:rPr>
          <w:rFonts w:ascii="TH SarabunPSK" w:hAnsi="TH SarabunPSK" w:cs="TH SarabunPSK"/>
          <w:sz w:val="32"/>
          <w:sz w:val="32"/>
          <w:szCs w:val="32"/>
        </w:rPr>
        <w:t>ปรนัย</w:t>
      </w:r>
      <w:r>
        <w:rPr>
          <w:rFonts w:cs="TH SarabunPSK" w:ascii="TH SarabunPSK" w:hAnsi="TH SarabunPSK"/>
          <w:sz w:val="32"/>
          <w:szCs w:val="32"/>
        </w:rPr>
        <w:t>)</w:t>
      </w:r>
    </w:p>
    <w:p>
      <w:pPr>
        <w:pStyle w:val="ListParagraph"/>
        <w:numPr>
          <w:ilvl w:val="0"/>
          <w:numId w:val="13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สอบปฏิบัติ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ListParagraph"/>
        <w:numPr>
          <w:ilvl w:val="0"/>
          <w:numId w:val="24"/>
        </w:numPr>
        <w:spacing w:lineRule="auto" w:line="240" w:before="0" w:after="0"/>
        <w:contextualSpacing/>
        <w:rPr>
          <w:rFonts w:cs="TH SarabunPSK" w:ascii="TH SarabunPSK" w:hAnsi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/>
          <w:bCs/>
          <w:sz w:val="32"/>
          <w:sz w:val="32"/>
          <w:szCs w:val="32"/>
        </w:rPr>
        <w:t xml:space="preserve">วิธีการฝึกอบรม </w:t>
      </w:r>
      <w:r>
        <w:rPr>
          <w:rFonts w:cs="TH SarabunPSK" w:ascii="TH SarabunPSK" w:hAnsi="TH SarabunPSK"/>
          <w:b/>
          <w:bCs/>
          <w:sz w:val="32"/>
          <w:szCs w:val="32"/>
        </w:rPr>
        <w:t>(Course Methodologies):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ฝึกแบบโมดูล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ครูให้คำแนะนำ หรือ บรรยาย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contextualSpacing/>
        <w:rPr>
          <w:rFonts w:ascii="TH SarabunPSK" w:hAnsi="TH SarabunPSK" w:cs="TH SarabunPSK"/>
          <w:sz w:val="32"/>
          <w:sz w:val="32"/>
          <w:szCs w:val="32"/>
        </w:rPr>
      </w:pPr>
      <w:r>
        <w:rPr>
          <w:rFonts w:ascii="TH SarabunPSK" w:hAnsi="TH SarabunPSK" w:cs="TH SarabunPSK"/>
          <w:sz w:val="32"/>
          <w:sz w:val="32"/>
          <w:szCs w:val="32"/>
        </w:rPr>
        <w:t>เรียนรู้หรือฝึกจากสื่อต่างๆ เช่น สื่อกระดาษ  สื่ออิเล็กทรอนิกส์ สื่อวีดิทัศน์ เป็นต้น</w:t>
      </w:r>
    </w:p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440" w:right="1133" w:header="708" w:top="1440" w:footer="708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rdiaUPC">
    <w:charset w:val="01"/>
    <w:family w:val="roman"/>
    <w:pitch w:val="variable"/>
  </w:font>
  <w:font w:name="TH SarabunPSK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variable"/>
  </w:font>
  <w:font w:name="Wingdings">
    <w:charset w:val="02"/>
    <w:family w:val="auto"/>
    <w:pitch w:val="default"/>
  </w:font>
  <w:font w:name="Courier New">
    <w:charset w:val="01"/>
    <w:family w:val="modern"/>
    <w:pitch w:val="fixed"/>
  </w:font>
  <w:font w:name="TH SarabunPSK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Footer"/>
      <w:pBdr>
        <w:top w:val="thinThickSmallGap" w:sz="24" w:space="1" w:color="622423"/>
        <w:left w:val="nil"/>
        <w:bottom w:val="nil"/>
        <w:right w:val="nil"/>
      </w:pBdr>
      <w:rPr>
        <w:rFonts w:ascii="Cambria" w:hAnsi="Cambria"/>
      </w:rPr>
    </w:pPr>
    <w:r>
      <w:rPr>
        <w:rFonts w:cs="" w:ascii="Cambria" w:hAnsi="Cambria"/>
      </w:rPr>
      <w:t>Competency –based Curriculum : CBC</w:t>
      <w:tab/>
    </w:r>
    <w:r>
      <w:rPr>
        <w:rFonts w:ascii="Cambria" w:hAnsi="Cambria"/>
      </w:rPr>
      <w:t xml:space="preserve">หน้าที่ </w:t>
    </w:r>
    <w:r>
      <w:rPr>
        <w:rFonts w:ascii="Cambria" w:hAnsi="Cambria"/>
      </w:rPr>
      <w:fldChar w:fldCharType="begin"/>
    </w:r>
    <w:r>
      <w:instrText> PAGE </w:instrText>
    </w:r>
    <w:r>
      <w:fldChar w:fldCharType="separate"/>
    </w:r>
    <w:r>
      <w:t>12</w:t>
    </w:r>
    <w:r>
      <w:fldChar w:fldCharType="end"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tbl>
    <w:tblPr>
      <w:jc w:val="left"/>
      <w:tblInd w:w="60" w:type="dxa"/>
      <w:tblBorders>
        <w:top w:val="nil"/>
        <w:left w:val="nil"/>
        <w:bottom w:val="nil"/>
        <w:insideH w:val="nil"/>
        <w:right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Grid>
      <w:gridCol w:w="1571"/>
      <w:gridCol w:w="4847"/>
      <w:gridCol w:w="3290"/>
    </w:tblGrid>
    <w:tr>
      <w:trPr>
        <w:trHeight w:val="912" w:hRule="atLeast"/>
        <w:cantSplit w:val="false"/>
      </w:trPr>
      <w:tc>
        <w:tcPr>
          <w:tcW w:w="1571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FFFFFF" w:val="clear"/>
        </w:tcPr>
        <w:p>
          <w:pPr>
            <w:pStyle w:val="Normal"/>
            <w:tabs>
              <w:tab w:val="center" w:pos="4513" w:leader="none"/>
              <w:tab w:val="right" w:pos="9026" w:leader="none"/>
            </w:tabs>
            <w:spacing w:lineRule="auto" w:line="240" w:before="0" w:after="0"/>
            <w:rPr/>
          </w:pPr>
          <w:r>
            <w:rPr/>
            <w:drawing>
              <wp:anchor behindDoc="1" distT="0" distB="0" distL="0" distR="0" simplePos="0" locked="0" layoutInCell="1" allowOverlap="1" relativeHeight="12">
                <wp:simplePos x="0" y="0"/>
                <wp:positionH relativeFrom="column">
                  <wp:posOffset>15240</wp:posOffset>
                </wp:positionH>
                <wp:positionV relativeFrom="paragraph">
                  <wp:posOffset>15240</wp:posOffset>
                </wp:positionV>
                <wp:extent cx="861060" cy="553085"/>
                <wp:effectExtent l="0" t="0" r="0" b="0"/>
                <wp:wrapSquare wrapText="largest"/>
                <wp:docPr id="1" name="Picture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1060" cy="553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47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FFFFFF" w:val="clear"/>
        </w:tcPr>
        <w:p>
          <w:pPr>
            <w:pStyle w:val="Normal"/>
            <w:tabs>
              <w:tab w:val="center" w:pos="4513" w:leader="none"/>
              <w:tab w:val="right" w:pos="9026" w:leader="none"/>
            </w:tabs>
            <w:spacing w:lineRule="auto" w:line="240" w:before="0" w:after="0"/>
            <w:rPr>
              <w:rFonts w:eastAsia="Calibri" w:ascii="" w:hAnsi=""/>
              <w:caps/>
              <w:color w:val="FF0000"/>
              <w:sz w:val="28"/>
            </w:rPr>
          </w:pPr>
          <w:r>
            <w:rPr>
              <w:rFonts w:eastAsia="Calibri" w:ascii="" w:hAnsi=""/>
              <w:caps/>
              <w:color w:val="FF0000"/>
              <w:sz w:val="28"/>
            </w:rPr>
          </w:r>
        </w:p>
      </w:tc>
      <w:tc>
        <w:tcPr>
          <w:tcW w:w="3290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FFFFFF" w:val="clear"/>
          <w:vAlign w:val="center"/>
        </w:tcPr>
        <w:p>
          <w:pPr>
            <w:pStyle w:val="Normal"/>
            <w:tabs>
              <w:tab w:val="center" w:pos="4513" w:leader="none"/>
              <w:tab w:val="right" w:pos="9026" w:leader="none"/>
            </w:tabs>
            <w:spacing w:lineRule="auto" w:line="240" w:before="0" w:after="0"/>
            <w:jc w:val="center"/>
            <w:rPr>
              <w:rFonts w:eastAsia="Calibri" w:ascii="" w:hAnsi=""/>
              <w:b/>
              <w:bCs/>
              <w:sz w:val="24"/>
              <w:szCs w:val="24"/>
            </w:rPr>
          </w:pPr>
          <w:r>
            <w:rPr>
              <w:rFonts w:eastAsia="Calibri" w:ascii="" w:hAnsi=""/>
              <w:b/>
              <w:bCs/>
              <w:sz w:val="24"/>
              <w:szCs w:val="24"/>
            </w:rPr>
          </w:r>
        </w:p>
      </w:tc>
    </w:tr>
    <w:tr>
      <w:trPr>
        <w:trHeight w:val="266" w:hRule="atLeast"/>
        <w:cantSplit w:val="false"/>
      </w:trPr>
      <w:tc>
        <w:tcPr>
          <w:tcW w:w="6418" w:type="dxa"/>
          <w:gridSpan w:val="2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8064A2" w:val="clear"/>
          <w:vAlign w:val="center"/>
        </w:tcPr>
        <w:p>
          <w:pPr>
            <w:pStyle w:val="Normal"/>
            <w:tabs>
              <w:tab w:val="center" w:pos="4513" w:leader="none"/>
              <w:tab w:val="right" w:pos="9026" w:leader="none"/>
            </w:tabs>
            <w:spacing w:lineRule="auto" w:line="240" w:before="0" w:after="0"/>
            <w:rPr>
              <w:rFonts w:ascii="" w:hAnsi="" w:eastAsia="Calibri" w:cs="TH SarabunPSK"/>
              <w:caps/>
              <w:color w:val="FFFFFF"/>
              <w:sz w:val="32"/>
              <w:sz w:val="32"/>
              <w:szCs w:val="32"/>
            </w:rPr>
          </w:pPr>
          <w:r>
            <w:rPr>
              <w:rFonts w:ascii="" w:hAnsi="" w:eastAsia="Calibri" w:cs="TH SarabunPSK"/>
              <w:caps/>
              <w:color w:val="FFFFFF"/>
              <w:sz w:val="32"/>
              <w:sz w:val="32"/>
              <w:szCs w:val="32"/>
            </w:rPr>
            <w:t>หลักสูตรอิงสมรรถนะของ บริษัท วนชัย พาแนล อินดัสทรี่ส์ จำกัด</w:t>
          </w:r>
        </w:p>
      </w:tc>
      <w:tc>
        <w:tcPr>
          <w:tcW w:w="3290" w:type="dxa"/>
          <w:tcBorders>
            <w:top w:val="nil"/>
            <w:left w:val="nil"/>
            <w:bottom w:val="nil"/>
            <w:insideH w:val="nil"/>
            <w:right w:val="nil"/>
            <w:insideV w:val="nil"/>
          </w:tcBorders>
          <w:shd w:fill="000000" w:val="clear"/>
          <w:vAlign w:val="center"/>
        </w:tcPr>
        <w:p>
          <w:pPr>
            <w:pStyle w:val="Normal"/>
            <w:tabs>
              <w:tab w:val="center" w:pos="4513" w:leader="none"/>
              <w:tab w:val="right" w:pos="9026" w:leader="none"/>
            </w:tabs>
            <w:spacing w:lineRule="auto" w:line="240" w:before="0" w:after="0"/>
            <w:jc w:val="right"/>
            <w:rPr>
              <w:rFonts w:eastAsia="Calibri" w:ascii="" w:hAnsi=""/>
              <w:sz w:val="28"/>
            </w:rPr>
          </w:pPr>
          <w:r>
            <w:rPr>
              <w:rFonts w:eastAsia="Calibri" w:ascii="" w:hAnsi=""/>
              <w:sz w:val="28"/>
            </w:rPr>
            <w:t>Competency-based Curriculum</w:t>
          </w:r>
        </w:p>
      </w:tc>
    </w:tr>
  </w:tbl>
  <w:p>
    <w:pPr>
      <w:pStyle w:val="Header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b w:val="false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b w:val="false"/>
        <w:szCs w:val="32"/>
        <w:bCs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  <w:sz w:val="32"/>
        <w:b/>
        <w:szCs w:val="32"/>
        <w:bCs w:val="fals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  <w:sz w:val="32"/>
        <w:b/>
        <w:szCs w:val="32"/>
        <w:bCs w:val="fals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lvl w:ilvl="0">
      <w:start w:val="1"/>
      <w:numFmt w:val="bullet"/>
      <w:lvlText w:val="-"/>
      <w:lvlJc w:val="left"/>
      <w:pPr>
        <w:ind w:left="36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-"/>
      <w:lvlJc w:val="left"/>
      <w:pPr>
        <w:ind w:left="36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sz w:val="32"/>
        <w:b w:val="false"/>
        <w:szCs w:val="32"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lvl w:ilvl="0">
      <w:start w:val="1"/>
      <w:numFmt w:val="bullet"/>
      <w:lvlText w:val="-"/>
      <w:lvlJc w:val="left"/>
      <w:pPr>
        <w:ind w:left="36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1">
      <w:start w:val="1"/>
      <w:numFmt w:val="bullet"/>
      <w:lvlText w:val="-"/>
      <w:lvlJc w:val="left"/>
      <w:pPr>
        <w:ind w:left="108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-"/>
      <w:lvlJc w:val="left"/>
      <w:pPr>
        <w:ind w:left="36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1">
      <w:start w:val="1"/>
      <w:numFmt w:val="bullet"/>
      <w:lvlText w:val="-"/>
      <w:lvlJc w:val="left"/>
      <w:pPr>
        <w:ind w:left="108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H SarabunPSK" w:hAnsi="TH SarabunPSK" w:cs="TH SarabunPSK" w:hint="default"/>
        <w:sz w:val="32"/>
        <w:b w:val="false"/>
        <w:szCs w:val="32"/>
        <w:bCs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lvl w:ilvl="0">
      <w:start w:val="1"/>
      <w:numFmt w:val="decimal"/>
      <w:lvlText w:val="%1."/>
      <w:lvlJc w:val="left"/>
      <w:pPr>
        <w:ind w:left="360" w:hanging="360"/>
      </w:pPr>
      <w:rPr>
        <w:sz w:val="32"/>
        <w:b/>
        <w:szCs w:val="32"/>
        <w:bCs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8"/>
        <w:lang w:val="en-US" w:eastAsia="en-US" w:bidi="th-TH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1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8"/>
      <w:lang w:val="en-US" w:eastAsia="en-US" w:bidi="th-TH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หัวกระดาษ อักขระ"/>
    <w:uiPriority w:val="99"/>
    <w:link w:val="a5"/>
    <w:rsid w:val="007d09cc"/>
    <w:basedOn w:val="DefaultParagraphFont"/>
    <w:rPr/>
  </w:style>
  <w:style w:type="character" w:styleId="Style15" w:customStyle="1">
    <w:name w:val="ท้ายกระดาษ อักขระ"/>
    <w:uiPriority w:val="99"/>
    <w:link w:val="a7"/>
    <w:rsid w:val="007d09cc"/>
    <w:basedOn w:val="DefaultParagraphFont"/>
    <w:rPr/>
  </w:style>
  <w:style w:type="character" w:styleId="Style16" w:customStyle="1">
    <w:name w:val="ข้อความบอลลูน อักขระ"/>
    <w:uiPriority w:val="99"/>
    <w:semiHidden/>
    <w:link w:val="a9"/>
    <w:rsid w:val="007d09cc"/>
    <w:basedOn w:val="DefaultParagraphFont"/>
    <w:rPr>
      <w:rFonts w:ascii="Tahoma" w:hAnsi="Tahoma" w:cs="Angsana New"/>
      <w:sz w:val="16"/>
      <w:szCs w:val="20"/>
    </w:rPr>
  </w:style>
  <w:style w:type="character" w:styleId="ListLabel1">
    <w:name w:val="ListLabel 1"/>
    <w:rPr>
      <w:rFonts w:cs="TH SarabunPSK"/>
      <w:b/>
      <w:bCs w:val="false"/>
      <w:sz w:val="32"/>
      <w:szCs w:val="32"/>
    </w:rPr>
  </w:style>
  <w:style w:type="character" w:styleId="ListLabel2">
    <w:name w:val="ListLabel 2"/>
    <w:rPr>
      <w:b w:val="false"/>
      <w:bCs/>
    </w:rPr>
  </w:style>
  <w:style w:type="character" w:styleId="ListLabel3">
    <w:name w:val="ListLabel 3"/>
    <w:rPr>
      <w:b w:val="false"/>
      <w:bCs/>
      <w:sz w:val="32"/>
      <w:szCs w:val="32"/>
    </w:rPr>
  </w:style>
  <w:style w:type="character" w:styleId="ListLabel4">
    <w:name w:val="ListLabel 4"/>
    <w:rPr>
      <w:rFonts w:cs="Courier New"/>
    </w:rPr>
  </w:style>
  <w:style w:type="character" w:styleId="ListLabel5">
    <w:name w:val="ListLabel 5"/>
    <w:rPr>
      <w:rFonts w:cs="TH SarabunPSK"/>
    </w:rPr>
  </w:style>
  <w:style w:type="character" w:styleId="ListLabel6">
    <w:name w:val="ListLabel 6"/>
    <w:rPr>
      <w:rFonts w:cs="TH SarabunPSK"/>
      <w:b w:val="false"/>
      <w:bCs/>
      <w:sz w:val="32"/>
      <w:szCs w:val="32"/>
    </w:rPr>
  </w:style>
  <w:style w:type="character" w:styleId="ListLabel7">
    <w:name w:val="ListLabel 7"/>
    <w:rPr>
      <w:rFonts w:cs="TH SarabunPSK"/>
      <w:b/>
      <w:bCs w:val="false"/>
      <w:sz w:val="32"/>
      <w:szCs w:val="32"/>
      <w:lang w:val="en-US"/>
    </w:rPr>
  </w:style>
  <w:style w:type="character" w:styleId="ListLabel8">
    <w:name w:val="ListLabel 8"/>
    <w:rPr>
      <w:b/>
      <w:bCs w:val="false"/>
      <w:sz w:val="32"/>
      <w:szCs w:val="32"/>
    </w:rPr>
  </w:style>
  <w:style w:type="character" w:styleId="ListLabel9">
    <w:name w:val="ListLabel 9"/>
    <w:rPr>
      <w:b w:val="false"/>
      <w:bCs/>
    </w:rPr>
  </w:style>
  <w:style w:type="character" w:styleId="ListLabel10">
    <w:name w:val="ListLabel 10"/>
    <w:rPr>
      <w:rFonts w:cs="Symbol"/>
    </w:rPr>
  </w:style>
  <w:style w:type="character" w:styleId="ListLabel11">
    <w:name w:val="ListLabel 11"/>
    <w:rPr>
      <w:rFonts w:cs="Symbol"/>
      <w:b w:val="false"/>
      <w:bCs/>
      <w:sz w:val="32"/>
      <w:szCs w:val="32"/>
    </w:rPr>
  </w:style>
  <w:style w:type="character" w:styleId="ListLabel12">
    <w:name w:val="ListLabel 12"/>
    <w:rPr>
      <w:rFonts w:cs="Wingdings"/>
    </w:rPr>
  </w:style>
  <w:style w:type="character" w:styleId="ListLabel13">
    <w:name w:val="ListLabel 13"/>
    <w:rPr>
      <w:rFonts w:cs="Courier New"/>
    </w:rPr>
  </w:style>
  <w:style w:type="character" w:styleId="ListLabel14">
    <w:name w:val="ListLabel 14"/>
    <w:rPr>
      <w:rFonts w:cs="TH SarabunPSK"/>
      <w:b/>
      <w:bCs w:val="false"/>
      <w:sz w:val="32"/>
      <w:szCs w:val="32"/>
    </w:rPr>
  </w:style>
  <w:style w:type="character" w:styleId="ListLabel15">
    <w:name w:val="ListLabel 15"/>
    <w:rPr>
      <w:rFonts w:cs="TH SarabunPSK"/>
    </w:rPr>
  </w:style>
  <w:style w:type="character" w:styleId="ListLabel16">
    <w:name w:val="ListLabel 16"/>
    <w:rPr>
      <w:rFonts w:cs="TH SarabunPSK"/>
      <w:b w:val="false"/>
      <w:bCs/>
      <w:sz w:val="32"/>
      <w:szCs w:val="32"/>
    </w:rPr>
  </w:style>
  <w:style w:type="character" w:styleId="ListLabel17">
    <w:name w:val="ListLabel 17"/>
    <w:rPr>
      <w:b/>
      <w:bCs w:val="false"/>
      <w:sz w:val="32"/>
      <w:szCs w:val="32"/>
    </w:rPr>
  </w:style>
  <w:style w:type="character" w:styleId="ListLabel18">
    <w:name w:val="ListLabel 18"/>
    <w:rPr>
      <w:b w:val="false"/>
      <w:bCs/>
    </w:rPr>
  </w:style>
  <w:style w:type="character" w:styleId="ListLabel19">
    <w:name w:val="ListLabel 19"/>
    <w:rPr>
      <w:rFonts w:cs="Symbol"/>
    </w:rPr>
  </w:style>
  <w:style w:type="character" w:styleId="ListLabel20">
    <w:name w:val="ListLabel 20"/>
    <w:rPr>
      <w:rFonts w:cs="Symbol"/>
      <w:b w:val="false"/>
      <w:bCs/>
      <w:sz w:val="32"/>
      <w:szCs w:val="32"/>
    </w:rPr>
  </w:style>
  <w:style w:type="character" w:styleId="ListLabel21">
    <w:name w:val="ListLabel 21"/>
    <w:rPr>
      <w:rFonts w:cs="Wingdings"/>
    </w:rPr>
  </w:style>
  <w:style w:type="character" w:styleId="ListLabel22">
    <w:name w:val="ListLabel 22"/>
    <w:rPr>
      <w:rFonts w:cs="Courier New"/>
    </w:rPr>
  </w:style>
  <w:style w:type="character" w:styleId="ListLabel23">
    <w:name w:val="ListLabel 23"/>
    <w:rPr>
      <w:rFonts w:cs="TH SarabunPSK"/>
      <w:b/>
      <w:bCs w:val="false"/>
      <w:sz w:val="32"/>
      <w:szCs w:val="32"/>
    </w:rPr>
  </w:style>
  <w:style w:type="character" w:styleId="ListLabel24">
    <w:name w:val="ListLabel 24"/>
    <w:rPr>
      <w:rFonts w:cs="TH SarabunPSK"/>
    </w:rPr>
  </w:style>
  <w:style w:type="character" w:styleId="ListLabel25">
    <w:name w:val="ListLabel 25"/>
    <w:rPr>
      <w:rFonts w:cs="TH SarabunPSK"/>
      <w:b w:val="false"/>
      <w:bCs/>
      <w:sz w:val="32"/>
      <w:szCs w:val="32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Umpush"/>
      <w:sz w:val="28"/>
      <w:szCs w:val="37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Kinnar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Kinnari"/>
      <w:i/>
      <w:iCs/>
      <w:sz w:val="24"/>
      <w:szCs w:val="32"/>
    </w:rPr>
  </w:style>
  <w:style w:type="paragraph" w:styleId="Index">
    <w:name w:val="Index"/>
    <w:basedOn w:val="Normal"/>
    <w:pPr>
      <w:suppressLineNumbers/>
    </w:pPr>
    <w:rPr>
      <w:rFonts w:cs="Kinnari"/>
    </w:rPr>
  </w:style>
  <w:style w:type="paragraph" w:styleId="ListParagraph">
    <w:name w:val="List Paragraph"/>
    <w:uiPriority w:val="34"/>
    <w:qFormat/>
    <w:rsid w:val="00993f9e"/>
    <w:basedOn w:val="Normal"/>
    <w:pPr>
      <w:spacing w:before="0" w:after="200"/>
      <w:ind w:left="720" w:right="0" w:hanging="0"/>
      <w:contextualSpacing/>
    </w:pPr>
    <w:rPr/>
  </w:style>
  <w:style w:type="paragraph" w:styleId="Header">
    <w:name w:val="Header"/>
    <w:uiPriority w:val="99"/>
    <w:unhideWhenUsed/>
    <w:link w:val="a6"/>
    <w:rsid w:val="007d09cc"/>
    <w:basedOn w:val="Normal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uiPriority w:val="99"/>
    <w:unhideWhenUsed/>
    <w:link w:val="a8"/>
    <w:rsid w:val="007d09cc"/>
    <w:basedOn w:val="Normal"/>
    <w:pPr>
      <w:tabs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BalloonText">
    <w:name w:val="Balloon Text"/>
    <w:uiPriority w:val="99"/>
    <w:semiHidden/>
    <w:unhideWhenUsed/>
    <w:link w:val="aa"/>
    <w:rsid w:val="007d09cc"/>
    <w:basedOn w:val="Normal"/>
    <w:pPr>
      <w:spacing w:lineRule="auto" w:line="240" w:before="0" w:after="0"/>
    </w:pPr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4f6eef"/>
    <w:basedOn w:val="Normal"/>
    <w:pPr>
      <w:spacing w:lineRule="auto" w:line="240" w:before="0" w:after="0"/>
    </w:pPr>
    <w:rPr>
      <w:rFonts w:cs="Times New Roman"/>
      <w:color w:val="000000"/>
      <w:szCs w:val="20"/>
      <w:lang w:eastAsia="ja-JP" w:bidi="ar-SA"/>
    </w:rPr>
  </w:style>
  <w:style w:type="paragraph" w:styleId="FrameContents">
    <w:name w:val="Frame Contents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1"/>
    <w:rsid w:val="001a0f98"/>
    <w:pPr>
      <w:spacing w:line="240" w:after="0" w:lineRule="auto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type="table" w:styleId="-4">
    <w:name w:val="Light List Accent 4"/>
    <w:basedOn w:val="a1"/>
    <w:uiPriority w:val="61"/>
    <w:rsid w:val="0049479b"/>
    <w:pPr>
      <w:spacing w:line="240" w:after="0" w:lineRule="auto"/>
    </w:p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="240" w:after="0" w:lineRule="auto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="240" w:after="0" w:lineRule="auto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type="table" w:styleId="2-4">
    <w:name w:val="Medium Grid 2 Accent 4"/>
    <w:basedOn w:val="a1"/>
    <w:uiPriority w:val="68"/>
    <w:rsid w:val="0049479b"/>
    <w:pPr>
      <w:spacing w:line="240" w:after="0" w:lineRule="auto"/>
    </w:pPr>
    <w:rPr>
      <w:rFonts w:eastAsiaTheme="majorEastAsia" w:asciiTheme="majorHAnsi" w:cstheme="majorBidi" w:hAnsiTheme="majorHAnsi"/>
      <w:color w:themeColor="text1" w:val="000000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="accent4" w:fill="DFD8E8" w:themeFillTint="3f" w:color="auto" w:val="clear"/>
    </w:tcPr>
    <w:tblStylePr w:type="firstRow">
      <w:rPr>
        <w:b/>
        <w:bCs/>
        <w:color w:themeColor="text1" w:val="000000"/>
      </w:rPr>
      <w:tblPr/>
      <w:tcPr>
        <w:shd w:themeFill="accent4" w:fill="F2EFF6" w:themeFillTint="1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accent4" w:fill="E5DFEC" w:themeFillTint="33" w:color="auto" w:val="clear"/>
      </w:tcPr>
    </w:tblStylePr>
    <w:tblStylePr w:type="band1Vert">
      <w:tblPr/>
      <w:tcPr>
        <w:shd w:themeFill="accent4" w:fill="BFB1D0" w:themeFillTint="7f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="accent4" w:fill="BFB1D0" w:themeFillTint="7f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type="table" w:styleId="-40">
    <w:name w:val="Light Grid Accent 4"/>
    <w:basedOn w:val="a1"/>
    <w:uiPriority w:val="62"/>
    <w:rsid w:val="0049479b"/>
    <w:pPr>
      <w:spacing w:line="240" w:after="0" w:lineRule="auto"/>
    </w:p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="240" w:after="0" w:lineRule="auto" w:before="0"/>
      </w:pPr>
      <w:rPr>
        <w:rFonts w:eastAsiaTheme="majorEastAsia" w:asciiTheme="majorHAnsi" w:cstheme="majorBidi" w:hAns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="240" w:after="0" w:lineRule="auto" w:before="0"/>
      </w:pPr>
      <w:rPr>
        <w:rFonts w:eastAsiaTheme="majorEastAsia" w:asciiTheme="majorHAnsi" w:cstheme="majorBidi" w:hAns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eastAsiaTheme="majorEastAsia" w:asciiTheme="majorHAnsi" w:cstheme="majorBidi" w:hAnsiTheme="majorHAnsi"/>
        <w:b/>
        <w:bCs/>
      </w:rPr>
      <w:tblPr/>
    </w:tblStylePr>
    <w:tblStylePr w:type="lastCol">
      <w:rPr>
        <w:rFonts w:eastAsiaTheme="majorEastAsia" w:asciiTheme="majorHAnsi" w:cstheme="majorBidi" w:hAns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="accent4" w:fill="DFD8E8" w:themeFillTint="3f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="accent4" w:fill="DFD8E8" w:themeFillTint="3f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type="table" w:styleId="-3">
    <w:name w:val="Light Grid Accent 3"/>
    <w:basedOn w:val="a1"/>
    <w:uiPriority w:val="62"/>
    <w:rsid w:val="00cb16a0"/>
    <w:pPr>
      <w:spacing w:line="240" w:after="0" w:lineRule="auto"/>
    </w:p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="240" w:after="0" w:lineRule="auto" w:before="0"/>
      </w:pPr>
      <w:rPr>
        <w:rFonts w:eastAsiaTheme="majorEastAsia" w:asciiTheme="majorHAnsi" w:cstheme="majorBidi" w:hAns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="240" w:after="0" w:lineRule="auto" w:before="0"/>
      </w:pPr>
      <w:rPr>
        <w:rFonts w:eastAsiaTheme="majorEastAsia" w:asciiTheme="majorHAnsi" w:cstheme="majorBidi" w:hAns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eastAsiaTheme="majorEastAsia" w:asciiTheme="majorHAnsi" w:cstheme="majorBidi" w:hAnsiTheme="majorHAnsi"/>
        <w:b/>
        <w:bCs/>
      </w:rPr>
      <w:tblPr/>
    </w:tblStylePr>
    <w:tblStylePr w:type="lastCol">
      <w:rPr>
        <w:rFonts w:eastAsiaTheme="majorEastAsia" w:asciiTheme="majorHAnsi" w:cstheme="majorBidi" w:hAns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="accent3" w:fill="E6EED5" w:themeFillTint="3f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="accent3" w:fill="E6EED5" w:themeFillTint="3f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type="table" w:styleId="-5">
    <w:name w:val="Light Grid Accent 5"/>
    <w:basedOn w:val="a1"/>
    <w:uiPriority w:val="62"/>
    <w:rsid w:val="00dc63ae"/>
    <w:pPr>
      <w:spacing w:line="240" w:after="0" w:lineRule="auto"/>
    </w:p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="240" w:after="0" w:lineRule="auto" w:before="0"/>
      </w:pPr>
      <w:rPr>
        <w:rFonts w:eastAsiaTheme="majorEastAsia" w:asciiTheme="majorHAnsi" w:cstheme="majorBidi" w:hAns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="240" w:after="0" w:lineRule="auto" w:before="0"/>
      </w:pPr>
      <w:rPr>
        <w:rFonts w:eastAsiaTheme="majorEastAsia" w:asciiTheme="majorHAnsi" w:cstheme="majorBidi" w:hAns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eastAsiaTheme="majorEastAsia" w:asciiTheme="majorHAnsi" w:cstheme="majorBidi" w:hAnsiTheme="majorHAnsi"/>
        <w:b/>
        <w:bCs/>
      </w:rPr>
      <w:tblPr/>
    </w:tblStylePr>
    <w:tblStylePr w:type="lastCol">
      <w:rPr>
        <w:rFonts w:eastAsiaTheme="majorEastAsia" w:asciiTheme="majorHAnsi" w:cstheme="majorBidi" w:hAns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="accent5" w:fill="D2EAF1" w:themeFillTint="3f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="accent5" w:fill="D2EAF1" w:themeFillTint="3f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gi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96F7B-28C0-4B22-8900-DE12ECECF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2015-12-17T04:52:00Z</dcterms:created>
  <dc:creator>nid</dc:creator>
  <dc:language>th-TH</dc:language>
  <cp:lastModifiedBy>MeeChai</cp:lastModifiedBy>
  <cp:lastPrinted>2015-12-16T06:13:00Z</cp:lastPrinted>
  <dcterms:modified xsi:type="dcterms:W3CDTF">2015-12-18T03:16:00Z</dcterms:modified>
  <cp:revision>34</cp:revision>
</cp:coreProperties>
</file>